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1CB" w:rsidRPr="00EA260C" w:rsidRDefault="007171CB" w:rsidP="00EA260C">
      <w:pPr>
        <w:pStyle w:val="Cmsor2"/>
        <w:rPr>
          <w:rFonts w:eastAsia="Times New Roman"/>
          <w:b/>
          <w:bCs/>
          <w:lang w:val="it-IT"/>
        </w:rPr>
      </w:pPr>
      <w:bookmarkStart w:id="0" w:name="_Toc501550480"/>
      <w:bookmarkStart w:id="1" w:name="_Toc501550482"/>
      <w:bookmarkStart w:id="2" w:name="_GoBack"/>
      <w:bookmarkEnd w:id="2"/>
      <w:r w:rsidRPr="00EA260C">
        <w:rPr>
          <w:rFonts w:eastAsia="Times New Roman"/>
          <w:b/>
          <w:bCs/>
          <w:lang w:val="it-IT"/>
        </w:rPr>
        <w:t>1</w:t>
      </w:r>
      <w:bookmarkEnd w:id="0"/>
      <w:r w:rsidRPr="00EA260C">
        <w:rPr>
          <w:rFonts w:eastAsia="Times New Roman"/>
          <w:b/>
          <w:bCs/>
          <w:lang w:val="it-IT"/>
        </w:rPr>
        <w:t>       Contract clauses</w:t>
      </w:r>
    </w:p>
    <w:p w:rsidR="007171CB" w:rsidRDefault="007171CB" w:rsidP="007171CB">
      <w:pPr>
        <w:pStyle w:val="Cmsor2"/>
        <w:rPr>
          <w:rFonts w:eastAsia="Times New Roman"/>
          <w:b/>
          <w:bCs/>
          <w:lang w:val="it-IT"/>
        </w:rPr>
      </w:pPr>
      <w:bookmarkStart w:id="3" w:name="_Toc501550481"/>
      <w:r>
        <w:rPr>
          <w:rFonts w:eastAsia="Times New Roman"/>
          <w:b/>
          <w:bCs/>
          <w:lang w:val="it-IT"/>
        </w:rPr>
        <w:t>1.1</w:t>
      </w:r>
      <w:bookmarkEnd w:id="3"/>
      <w:r>
        <w:rPr>
          <w:rFonts w:ascii="Times New Roman" w:eastAsia="Times New Roman" w:hAnsi="Times New Roman" w:cs="Times New Roman"/>
          <w:b/>
          <w:bCs/>
          <w:sz w:val="14"/>
          <w:szCs w:val="14"/>
          <w:lang w:val="it-IT"/>
        </w:rPr>
        <w:t xml:space="preserve">      </w:t>
      </w:r>
      <w:r>
        <w:rPr>
          <w:rFonts w:eastAsia="Times New Roman"/>
          <w:b/>
          <w:bCs/>
          <w:lang w:val="it-IT"/>
        </w:rPr>
        <w:t>Definition</w:t>
      </w:r>
    </w:p>
    <w:p w:rsidR="007171CB" w:rsidRDefault="007171CB" w:rsidP="007171CB">
      <w:pPr>
        <w:spacing w:after="200" w:line="276" w:lineRule="auto"/>
        <w:ind w:left="360"/>
        <w:jc w:val="both"/>
        <w:rPr>
          <w:i/>
          <w:iCs/>
          <w:lang w:val="en-GB"/>
        </w:rPr>
      </w:pPr>
      <w:r>
        <w:rPr>
          <w:i/>
          <w:iCs/>
          <w:lang w:val="en-US"/>
        </w:rPr>
        <w:t>“Fraudulent traffic includes, but is not limited to, traffic that the Carrier reasonably determines as</w:t>
      </w:r>
      <w:r>
        <w:rPr>
          <w:i/>
          <w:iCs/>
          <w:color w:val="00B050"/>
          <w:lang w:val="en-US"/>
        </w:rPr>
        <w:t>:</w:t>
      </w:r>
      <w:r>
        <w:rPr>
          <w:i/>
          <w:iCs/>
          <w:lang w:val="en-US"/>
        </w:rPr>
        <w:t xml:space="preserve"> (</w:t>
      </w:r>
      <w:proofErr w:type="spellStart"/>
      <w:r>
        <w:rPr>
          <w:i/>
          <w:iCs/>
          <w:lang w:val="en-US"/>
        </w:rPr>
        <w:t>i</w:t>
      </w:r>
      <w:proofErr w:type="spellEnd"/>
      <w:r>
        <w:rPr>
          <w:i/>
          <w:iCs/>
          <w:lang w:val="en-US"/>
        </w:rPr>
        <w:t>) calls terminated to repeating interactive voice responses (IVRs) or recordings platforms; (ii) not routed for termination in the country of destination and/or to the owner of the number range; (iii) involving numbers that are unallocated or unassigned at time of traffic; (iv) machine generated, sequential, or simultaneous in nature.”</w:t>
      </w:r>
    </w:p>
    <w:p w:rsidR="006D5AC7" w:rsidRDefault="006D5AC7" w:rsidP="006D5AC7">
      <w:pPr>
        <w:pStyle w:val="Cmsor2"/>
        <w:rPr>
          <w:rFonts w:eastAsia="Times New Roman"/>
          <w:b/>
          <w:bCs/>
          <w:lang w:val="it-IT"/>
        </w:rPr>
      </w:pPr>
      <w:r>
        <w:rPr>
          <w:rFonts w:eastAsia="Times New Roman"/>
          <w:b/>
          <w:bCs/>
          <w:lang w:val="it-IT"/>
        </w:rPr>
        <w:t>1.2</w:t>
      </w:r>
      <w:bookmarkEnd w:id="1"/>
      <w:r>
        <w:rPr>
          <w:rFonts w:ascii="Times New Roman" w:eastAsia="Times New Roman" w:hAnsi="Times New Roman" w:cs="Times New Roman"/>
          <w:b/>
          <w:bCs/>
          <w:sz w:val="14"/>
          <w:szCs w:val="14"/>
          <w:lang w:val="it-IT"/>
        </w:rPr>
        <w:t xml:space="preserve">      </w:t>
      </w:r>
      <w:r>
        <w:rPr>
          <w:rFonts w:eastAsia="Times New Roman"/>
          <w:b/>
          <w:bCs/>
          <w:lang w:val="it-IT"/>
        </w:rPr>
        <w:t>Liability &amp; Payment rules</w:t>
      </w:r>
    </w:p>
    <w:p w:rsidR="006D5AC7" w:rsidRDefault="006D5AC7" w:rsidP="006D5AC7">
      <w:pPr>
        <w:spacing w:after="200" w:line="276" w:lineRule="auto"/>
        <w:ind w:left="360"/>
        <w:jc w:val="both"/>
        <w:rPr>
          <w:i/>
          <w:iCs/>
          <w:lang w:val="en-GB"/>
        </w:rPr>
      </w:pPr>
      <w:r>
        <w:rPr>
          <w:i/>
          <w:iCs/>
          <w:lang w:val="en-US"/>
        </w:rPr>
        <w:t>“Each Party is responsible for and pay all expenses associated with all billing, collection, and provision of customer service activities in connection with calls originated by its customers.  No payments due hereunder are contingent on payment due to either Party from its own customers. Neither Party is obliged to obtain a credit note for the supply of a Carrier Service for which the other Party could not collect the corresponding amount with its end user (e.g. in the event of insolvency or fraud)..”</w:t>
      </w:r>
    </w:p>
    <w:p w:rsidR="006D5AC7" w:rsidRDefault="006D5AC7" w:rsidP="006D5AC7">
      <w:pPr>
        <w:rPr>
          <w:lang w:val="en-US"/>
        </w:rPr>
      </w:pPr>
    </w:p>
    <w:p w:rsidR="006D5AC7" w:rsidRDefault="006D5AC7" w:rsidP="006D5AC7">
      <w:pPr>
        <w:pStyle w:val="Cmsor2"/>
        <w:rPr>
          <w:rFonts w:eastAsia="Times New Roman"/>
          <w:b/>
          <w:bCs/>
          <w:lang w:val="it-IT"/>
        </w:rPr>
      </w:pPr>
      <w:bookmarkStart w:id="4" w:name="_Toc501550483"/>
      <w:r>
        <w:rPr>
          <w:rFonts w:eastAsia="Times New Roman"/>
          <w:b/>
          <w:bCs/>
          <w:lang w:val="it-IT"/>
        </w:rPr>
        <w:t>1.3</w:t>
      </w:r>
      <w:bookmarkEnd w:id="4"/>
      <w:r>
        <w:rPr>
          <w:rFonts w:ascii="Times New Roman" w:eastAsia="Times New Roman" w:hAnsi="Times New Roman" w:cs="Times New Roman"/>
          <w:b/>
          <w:bCs/>
          <w:sz w:val="14"/>
          <w:szCs w:val="14"/>
          <w:lang w:val="it-IT"/>
        </w:rPr>
        <w:t xml:space="preserve">      </w:t>
      </w:r>
      <w:r>
        <w:rPr>
          <w:rFonts w:eastAsia="Times New Roman"/>
          <w:b/>
          <w:bCs/>
          <w:lang w:val="it-IT"/>
        </w:rPr>
        <w:t>Right to suspend service</w:t>
      </w:r>
    </w:p>
    <w:p w:rsidR="006D5AC7" w:rsidRDefault="006D5AC7" w:rsidP="006D5AC7">
      <w:pPr>
        <w:spacing w:after="200" w:line="276" w:lineRule="auto"/>
        <w:ind w:left="360"/>
        <w:jc w:val="both"/>
        <w:rPr>
          <w:i/>
          <w:iCs/>
          <w:lang w:val="en-US"/>
        </w:rPr>
      </w:pPr>
      <w:r>
        <w:rPr>
          <w:i/>
          <w:iCs/>
          <w:lang w:val="en-US"/>
        </w:rPr>
        <w:t>“The Service Providing Party may suspend terminating traffic to certain dial codes / numbers in the event that it suspects or has likely evidence of fraudulent use of such traffic.”</w:t>
      </w:r>
    </w:p>
    <w:p w:rsidR="006D5AC7" w:rsidRDefault="006D5AC7" w:rsidP="006D5AC7">
      <w:pPr>
        <w:rPr>
          <w:i/>
          <w:iCs/>
          <w:lang w:val="en-US"/>
        </w:rPr>
      </w:pPr>
    </w:p>
    <w:p w:rsidR="006D5AC7" w:rsidRDefault="006D5AC7" w:rsidP="006D5AC7">
      <w:pPr>
        <w:pStyle w:val="Cmsor2"/>
        <w:rPr>
          <w:rFonts w:eastAsia="Times New Roman"/>
          <w:b/>
          <w:bCs/>
          <w:lang w:val="it-IT"/>
        </w:rPr>
      </w:pPr>
      <w:bookmarkStart w:id="5" w:name="_Toc501550484"/>
      <w:r>
        <w:rPr>
          <w:rFonts w:eastAsia="Times New Roman"/>
          <w:b/>
          <w:bCs/>
          <w:lang w:val="it-IT"/>
        </w:rPr>
        <w:t>1.4</w:t>
      </w:r>
      <w:bookmarkEnd w:id="5"/>
      <w:r>
        <w:rPr>
          <w:rFonts w:ascii="Times New Roman" w:eastAsia="Times New Roman" w:hAnsi="Times New Roman" w:cs="Times New Roman"/>
          <w:b/>
          <w:bCs/>
          <w:sz w:val="14"/>
          <w:szCs w:val="14"/>
          <w:lang w:val="it-IT"/>
        </w:rPr>
        <w:t xml:space="preserve">      </w:t>
      </w:r>
      <w:r>
        <w:rPr>
          <w:rFonts w:eastAsia="Times New Roman"/>
          <w:b/>
          <w:bCs/>
          <w:lang w:val="it-IT"/>
        </w:rPr>
        <w:t>If fraudulent traffic is detected</w:t>
      </w:r>
    </w:p>
    <w:p w:rsidR="006D5AC7" w:rsidRDefault="006D5AC7" w:rsidP="006D5AC7">
      <w:pPr>
        <w:spacing w:after="200" w:line="276" w:lineRule="auto"/>
        <w:ind w:left="360"/>
        <w:jc w:val="both"/>
        <w:rPr>
          <w:lang w:val="en-US"/>
        </w:rPr>
      </w:pPr>
      <w:r>
        <w:rPr>
          <w:lang w:val="en-US"/>
        </w:rPr>
        <w:t>This part of the fraud clause clarifies that despite the liabilities defined in point 1.2, it remains possible to open fraud disputes under certain conditions.</w:t>
      </w:r>
    </w:p>
    <w:p w:rsidR="006D5AC7" w:rsidRDefault="006D5AC7" w:rsidP="006D5AC7">
      <w:pPr>
        <w:spacing w:after="200" w:line="276" w:lineRule="auto"/>
        <w:ind w:left="360"/>
        <w:jc w:val="both"/>
        <w:rPr>
          <w:i/>
          <w:iCs/>
          <w:lang w:val="en-US"/>
        </w:rPr>
      </w:pPr>
      <w:r>
        <w:rPr>
          <w:i/>
          <w:iCs/>
          <w:lang w:val="en-US"/>
        </w:rPr>
        <w:t xml:space="preserve">“If fraudulent / suspected fraudulent use of traffic occurs, each the Service Receiving Party shall </w:t>
      </w:r>
      <w:r>
        <w:rPr>
          <w:b/>
          <w:bCs/>
          <w:i/>
          <w:iCs/>
          <w:lang w:val="en-US"/>
        </w:rPr>
        <w:t>notify</w:t>
      </w:r>
      <w:r>
        <w:rPr>
          <w:i/>
          <w:iCs/>
          <w:lang w:val="en-US"/>
        </w:rPr>
        <w:t xml:space="preserve"> the Service Providing Party of such traffic before the invoice for such traffic period is received. The CDRs for the alleged fraudulent traffic needs to be provided together with the fraud traffic notification.</w:t>
      </w:r>
    </w:p>
    <w:p w:rsidR="006D5AC7" w:rsidRDefault="006D5AC7" w:rsidP="006D5AC7">
      <w:pPr>
        <w:spacing w:after="200" w:line="276" w:lineRule="auto"/>
        <w:ind w:left="360"/>
        <w:jc w:val="both"/>
        <w:rPr>
          <w:i/>
          <w:iCs/>
          <w:lang w:val="en-US"/>
        </w:rPr>
      </w:pPr>
      <w:r>
        <w:rPr>
          <w:i/>
          <w:iCs/>
          <w:lang w:val="en-US"/>
        </w:rPr>
        <w:t xml:space="preserve">The related fraud traffic </w:t>
      </w:r>
      <w:r>
        <w:rPr>
          <w:b/>
          <w:bCs/>
          <w:i/>
          <w:iCs/>
          <w:lang w:val="en-US"/>
        </w:rPr>
        <w:t>dispute</w:t>
      </w:r>
      <w:r>
        <w:rPr>
          <w:i/>
          <w:iCs/>
          <w:lang w:val="en-US"/>
        </w:rPr>
        <w:t xml:space="preserve"> shall be officially opened by the Service Receiving Party against the invoice received from the Service Providing Party.</w:t>
      </w:r>
    </w:p>
    <w:p w:rsidR="006D5AC7" w:rsidRDefault="006D5AC7" w:rsidP="006D5AC7">
      <w:pPr>
        <w:spacing w:after="200" w:line="276" w:lineRule="auto"/>
        <w:ind w:left="360"/>
        <w:jc w:val="both"/>
        <w:rPr>
          <w:i/>
          <w:iCs/>
          <w:lang w:val="en-US"/>
        </w:rPr>
      </w:pPr>
      <w:r>
        <w:rPr>
          <w:i/>
          <w:iCs/>
          <w:lang w:val="en-US"/>
        </w:rPr>
        <w:t xml:space="preserve">Notwithstanding anything to the contrary in the [contract dispute resolution clauses], the following </w:t>
      </w:r>
      <w:r>
        <w:rPr>
          <w:b/>
          <w:bCs/>
          <w:i/>
          <w:iCs/>
          <w:lang w:val="en-US"/>
        </w:rPr>
        <w:t>information must be provided</w:t>
      </w:r>
      <w:r>
        <w:rPr>
          <w:i/>
          <w:iCs/>
          <w:lang w:val="en-US"/>
        </w:rPr>
        <w:t xml:space="preserve"> by the Service Receiving Party (disputing Party) before the due date of the invoice relating to the alleged fraudulent traffic: </w:t>
      </w:r>
      <w:proofErr w:type="spellStart"/>
      <w:r>
        <w:rPr>
          <w:i/>
          <w:iCs/>
          <w:lang w:val="en-US"/>
        </w:rPr>
        <w:t>i</w:t>
      </w:r>
      <w:proofErr w:type="spellEnd"/>
      <w:r>
        <w:rPr>
          <w:i/>
          <w:iCs/>
          <w:lang w:val="en-US"/>
        </w:rPr>
        <w:t>., a case description (in English) of the Fraudulent Traffic and ii. a criminal complaint or report from a public authority or a document issued by a public authority confirming that (criminal) investigations have been initiated by the respective authority in the country of traffic origination.”</w:t>
      </w:r>
    </w:p>
    <w:p w:rsidR="006D5AC7" w:rsidRDefault="006D5AC7" w:rsidP="006D5AC7">
      <w:pPr>
        <w:spacing w:after="200" w:line="276" w:lineRule="auto"/>
        <w:ind w:left="360"/>
        <w:jc w:val="both"/>
        <w:rPr>
          <w:lang w:val="en-US"/>
        </w:rPr>
      </w:pPr>
    </w:p>
    <w:p w:rsidR="006D5AC7" w:rsidRDefault="006D5AC7" w:rsidP="006D5AC7">
      <w:pPr>
        <w:pStyle w:val="Cmsor2"/>
        <w:rPr>
          <w:rFonts w:eastAsia="Times New Roman"/>
          <w:b/>
          <w:bCs/>
          <w:lang w:val="it-IT"/>
        </w:rPr>
      </w:pPr>
      <w:bookmarkStart w:id="6" w:name="_Toc501550485"/>
      <w:r>
        <w:rPr>
          <w:rFonts w:eastAsia="Times New Roman"/>
          <w:b/>
          <w:bCs/>
          <w:lang w:val="it-IT"/>
        </w:rPr>
        <w:t>1.5</w:t>
      </w:r>
      <w:bookmarkEnd w:id="6"/>
      <w:r>
        <w:rPr>
          <w:rFonts w:ascii="Times New Roman" w:eastAsia="Times New Roman" w:hAnsi="Times New Roman" w:cs="Times New Roman"/>
          <w:b/>
          <w:bCs/>
          <w:sz w:val="14"/>
          <w:szCs w:val="14"/>
          <w:lang w:val="it-IT"/>
        </w:rPr>
        <w:t xml:space="preserve">      </w:t>
      </w:r>
      <w:r>
        <w:rPr>
          <w:rFonts w:eastAsia="Times New Roman"/>
          <w:b/>
          <w:bCs/>
          <w:lang w:val="it-IT"/>
        </w:rPr>
        <w:t>Credit note handling principles</w:t>
      </w:r>
    </w:p>
    <w:p w:rsidR="006D5AC7" w:rsidRDefault="006D5AC7" w:rsidP="006D5AC7">
      <w:pPr>
        <w:jc w:val="both"/>
        <w:rPr>
          <w:lang w:val="en-GB"/>
        </w:rPr>
      </w:pPr>
      <w:r>
        <w:rPr>
          <w:i/>
          <w:iCs/>
          <w:lang w:val="en-US"/>
        </w:rPr>
        <w:t>“In case of fraudulent traffic disputes, the Service Providing Party will use commercially reasonable efforts to obtain a credit note from its suppliers regarding the fraudulent traffic. The Service Receiving Party must pay for amounts referring to fraudulent traffic for which a credit note cannot be obtained from the Service Providing Party’s suppliers.”</w:t>
      </w:r>
    </w:p>
    <w:p w:rsidR="00D02886" w:rsidRPr="006D5AC7" w:rsidRDefault="00E937D4">
      <w:pPr>
        <w:rPr>
          <w:lang w:val="en-GB"/>
        </w:rPr>
      </w:pPr>
    </w:p>
    <w:sectPr w:rsidR="00D02886" w:rsidRPr="006D5A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AC7"/>
    <w:rsid w:val="006D5AC7"/>
    <w:rsid w:val="007171CB"/>
    <w:rsid w:val="00960D96"/>
    <w:rsid w:val="00A05217"/>
    <w:rsid w:val="00E937D4"/>
    <w:rsid w:val="00EA260C"/>
    <w:rsid w:val="00F84D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5F14C-B464-4142-892A-9AE62A1A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D5AC7"/>
    <w:pPr>
      <w:spacing w:after="0" w:line="240" w:lineRule="auto"/>
    </w:pPr>
    <w:rPr>
      <w:rFonts w:ascii="Arial" w:hAnsi="Arial" w:cs="Arial"/>
      <w:sz w:val="20"/>
      <w:szCs w:val="20"/>
      <w:lang w:eastAsia="hu-HU"/>
    </w:rPr>
  </w:style>
  <w:style w:type="paragraph" w:styleId="Cmsor1">
    <w:name w:val="heading 1"/>
    <w:basedOn w:val="Norml"/>
    <w:next w:val="Norml"/>
    <w:link w:val="Cmsor1Char"/>
    <w:uiPriority w:val="9"/>
    <w:qFormat/>
    <w:rsid w:val="007171C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2">
    <w:name w:val="heading 2"/>
    <w:aliases w:val="h2,l2,l2+toc 2,I2,2,CAPITOLO"/>
    <w:basedOn w:val="Norml"/>
    <w:link w:val="Cmsor2Char"/>
    <w:uiPriority w:val="99"/>
    <w:semiHidden/>
    <w:unhideWhenUsed/>
    <w:qFormat/>
    <w:rsid w:val="006D5AC7"/>
    <w:pPr>
      <w:keepNext/>
      <w:spacing w:before="240" w:after="120"/>
      <w:ind w:left="576" w:hanging="576"/>
      <w:outlineLvl w:val="1"/>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2Char">
    <w:name w:val="Heading 2 Char"/>
    <w:basedOn w:val="Bekezdsalapbettpusa"/>
    <w:uiPriority w:val="9"/>
    <w:semiHidden/>
    <w:rsid w:val="006D5AC7"/>
    <w:rPr>
      <w:rFonts w:asciiTheme="majorHAnsi" w:eastAsiaTheme="majorEastAsia" w:hAnsiTheme="majorHAnsi" w:cstheme="majorBidi"/>
      <w:color w:val="2E74B5" w:themeColor="accent1" w:themeShade="BF"/>
      <w:sz w:val="26"/>
      <w:szCs w:val="26"/>
      <w:lang w:eastAsia="hu-HU"/>
    </w:rPr>
  </w:style>
  <w:style w:type="character" w:customStyle="1" w:styleId="Cmsor2Char">
    <w:name w:val="Címsor 2 Char"/>
    <w:aliases w:val="h2 Char,l2 Char,l2+toc 2 Char,I2 Char,2 Char,CAPITOLO Char"/>
    <w:basedOn w:val="Bekezdsalapbettpusa"/>
    <w:link w:val="Cmsor2"/>
    <w:uiPriority w:val="99"/>
    <w:semiHidden/>
    <w:locked/>
    <w:rsid w:val="006D5AC7"/>
    <w:rPr>
      <w:rFonts w:ascii="Arial" w:hAnsi="Arial" w:cs="Arial"/>
      <w:sz w:val="24"/>
      <w:szCs w:val="24"/>
      <w:lang w:eastAsia="hu-HU"/>
    </w:rPr>
  </w:style>
  <w:style w:type="character" w:customStyle="1" w:styleId="Cmsor1Char">
    <w:name w:val="Címsor 1 Char"/>
    <w:basedOn w:val="Bekezdsalapbettpusa"/>
    <w:link w:val="Cmsor1"/>
    <w:uiPriority w:val="9"/>
    <w:rsid w:val="007171CB"/>
    <w:rPr>
      <w:rFonts w:asciiTheme="majorHAnsi" w:eastAsiaTheme="majorEastAsia" w:hAnsiTheme="majorHAnsi" w:cstheme="majorBidi"/>
      <w:color w:val="2E74B5" w:themeColor="accent1" w:themeShade="BF"/>
      <w:sz w:val="32"/>
      <w:szCs w:val="32"/>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679401">
      <w:bodyDiv w:val="1"/>
      <w:marLeft w:val="0"/>
      <w:marRight w:val="0"/>
      <w:marTop w:val="0"/>
      <w:marBottom w:val="0"/>
      <w:divBdr>
        <w:top w:val="none" w:sz="0" w:space="0" w:color="auto"/>
        <w:left w:val="none" w:sz="0" w:space="0" w:color="auto"/>
        <w:bottom w:val="none" w:sz="0" w:space="0" w:color="auto"/>
        <w:right w:val="none" w:sz="0" w:space="0" w:color="auto"/>
      </w:divBdr>
    </w:div>
    <w:div w:id="129263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T-Systems International</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Maróthy, Tamás</dc:creator>
  <cp:keywords/>
  <dc:description/>
  <cp:lastModifiedBy>User</cp:lastModifiedBy>
  <cp:revision>2</cp:revision>
  <dcterms:created xsi:type="dcterms:W3CDTF">2020-03-31T19:39:00Z</dcterms:created>
  <dcterms:modified xsi:type="dcterms:W3CDTF">2020-03-31T19:39:00Z</dcterms:modified>
</cp:coreProperties>
</file>