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4F44" w14:textId="77777777" w:rsidR="008F6615" w:rsidRDefault="008F6615" w:rsidP="00883903">
      <w:pPr>
        <w:pBdr>
          <w:bottom w:val="single" w:sz="8" w:space="1" w:color="auto"/>
        </w:pBdr>
        <w:rPr>
          <w:b/>
          <w:bCs/>
          <w:sz w:val="28"/>
          <w:szCs w:val="28"/>
        </w:rPr>
      </w:pPr>
    </w:p>
    <w:p w14:paraId="54504124" w14:textId="5C9208CC" w:rsidR="00984694" w:rsidRPr="00883903" w:rsidRDefault="00883903" w:rsidP="00883903">
      <w:pPr>
        <w:pBdr>
          <w:bottom w:val="single" w:sz="8" w:space="1" w:color="auto"/>
        </w:pBdr>
        <w:rPr>
          <w:b/>
          <w:bCs/>
          <w:sz w:val="28"/>
          <w:szCs w:val="28"/>
        </w:rPr>
      </w:pPr>
      <w:r w:rsidRPr="00883903">
        <w:rPr>
          <w:b/>
          <w:bCs/>
          <w:sz w:val="28"/>
          <w:szCs w:val="28"/>
        </w:rPr>
        <w:t xml:space="preserve">i3Forum </w:t>
      </w:r>
      <w:r w:rsidR="00984694" w:rsidRPr="00883903">
        <w:rPr>
          <w:b/>
          <w:bCs/>
          <w:sz w:val="28"/>
          <w:szCs w:val="28"/>
        </w:rPr>
        <w:t>Fraud Data</w:t>
      </w:r>
      <w:r w:rsidR="00732EB6">
        <w:rPr>
          <w:b/>
          <w:bCs/>
          <w:sz w:val="28"/>
          <w:szCs w:val="28"/>
        </w:rPr>
        <w:t xml:space="preserve"> Sharing</w:t>
      </w:r>
      <w:r w:rsidR="00984694" w:rsidRPr="00883903">
        <w:rPr>
          <w:b/>
          <w:bCs/>
          <w:sz w:val="28"/>
          <w:szCs w:val="28"/>
        </w:rPr>
        <w:t xml:space="preserve"> Guidelines: </w:t>
      </w:r>
    </w:p>
    <w:p w14:paraId="001EA168" w14:textId="1B661D95" w:rsidR="00D35E3D" w:rsidRDefault="00812E56" w:rsidP="00D35E3D">
      <w:pPr>
        <w:jc w:val="both"/>
      </w:pPr>
      <w:r>
        <w:t xml:space="preserve">The i3Forum Fraud </w:t>
      </w:r>
      <w:r w:rsidR="005A621A">
        <w:t>Workgroup may be involved in the discussion and sharing of</w:t>
      </w:r>
      <w:r w:rsidR="00C71D11">
        <w:t xml:space="preserve"> fraud risk information </w:t>
      </w:r>
      <w:r w:rsidR="00574DE4">
        <w:t xml:space="preserve">which </w:t>
      </w:r>
      <w:r w:rsidR="005A621A">
        <w:t xml:space="preserve">may be </w:t>
      </w:r>
      <w:r w:rsidR="00574DE4">
        <w:t xml:space="preserve">used by the industry </w:t>
      </w:r>
      <w:r w:rsidR="00C71D11">
        <w:t xml:space="preserve">in the detection and prevention of </w:t>
      </w:r>
      <w:r w:rsidR="00883903">
        <w:t>potentially</w:t>
      </w:r>
      <w:r w:rsidR="00C71D11">
        <w:t xml:space="preserve"> fraudulent </w:t>
      </w:r>
      <w:r w:rsidR="00883903">
        <w:t xml:space="preserve">call routing </w:t>
      </w:r>
      <w:r w:rsidR="00C71D11">
        <w:t>activity</w:t>
      </w:r>
      <w:r w:rsidR="005A621A">
        <w:t xml:space="preserve"> (“</w:t>
      </w:r>
      <w:r w:rsidR="005A621A" w:rsidRPr="00D86F3F">
        <w:rPr>
          <w:b/>
          <w:bCs/>
        </w:rPr>
        <w:t>Fraud Data</w:t>
      </w:r>
      <w:r w:rsidR="005A621A">
        <w:t>”)</w:t>
      </w:r>
      <w:r w:rsidR="00C71D11">
        <w:t xml:space="preserve">.  </w:t>
      </w:r>
      <w:r w:rsidR="00883903">
        <w:t>Since the Fraud Data involves the potential sharing of information by competitors</w:t>
      </w:r>
      <w:r w:rsidR="00ED0173">
        <w:t xml:space="preserve">, it is important that we </w:t>
      </w:r>
      <w:r w:rsidR="00574DE4">
        <w:t xml:space="preserve">establish guidelines to </w:t>
      </w:r>
      <w:r w:rsidR="00ED0173">
        <w:t xml:space="preserve">ensure the use of the Fraud Data is closely aligned with data protection and </w:t>
      </w:r>
      <w:r w:rsidR="005A621A">
        <w:t xml:space="preserve">competition law </w:t>
      </w:r>
      <w:r w:rsidR="00ED0173">
        <w:t xml:space="preserve">requirements. </w:t>
      </w:r>
      <w:r w:rsidR="004375B7">
        <w:t xml:space="preserve"> </w:t>
      </w:r>
      <w:r w:rsidR="00D35E3D" w:rsidRPr="00D35E3D">
        <w:t xml:space="preserve">The </w:t>
      </w:r>
      <w:r w:rsidR="00D35E3D">
        <w:t>following p</w:t>
      </w:r>
      <w:r w:rsidR="00D35E3D" w:rsidRPr="00D35E3D">
        <w:t xml:space="preserve">rinciples and guidance describe the controls </w:t>
      </w:r>
      <w:r w:rsidR="005A621A">
        <w:t xml:space="preserve">which are required to be </w:t>
      </w:r>
      <w:r w:rsidR="00D35E3D" w:rsidRPr="00D35E3D">
        <w:t xml:space="preserve">in place to protect the </w:t>
      </w:r>
      <w:r w:rsidR="005A621A">
        <w:t xml:space="preserve">exchange of </w:t>
      </w:r>
      <w:r w:rsidR="00D35E3D">
        <w:t>Fraud D</w:t>
      </w:r>
      <w:r w:rsidR="00D35E3D" w:rsidRPr="00D35E3D">
        <w:t xml:space="preserve">ata, and </w:t>
      </w:r>
      <w:r w:rsidR="00D35E3D">
        <w:t xml:space="preserve">to </w:t>
      </w:r>
      <w:r w:rsidR="00D35E3D" w:rsidRPr="00D35E3D">
        <w:t>ensure that the highest possible level of fairness and transparency are observed</w:t>
      </w:r>
      <w:r w:rsidR="00D35E3D">
        <w:t>:</w:t>
      </w:r>
    </w:p>
    <w:p w14:paraId="401922A0" w14:textId="59AD7AF4" w:rsidR="009E07F2" w:rsidRDefault="00CC77B3">
      <w:r w:rsidRPr="002B132B">
        <w:rPr>
          <w:b/>
          <w:bCs/>
        </w:rPr>
        <w:t xml:space="preserve">Guidelines </w:t>
      </w:r>
      <w:r w:rsidR="009E07F2" w:rsidRPr="002B132B">
        <w:rPr>
          <w:b/>
          <w:bCs/>
        </w:rPr>
        <w:t>of Use</w:t>
      </w:r>
      <w:r w:rsidR="002B132B" w:rsidRPr="002B132B">
        <w:rPr>
          <w:b/>
          <w:bCs/>
        </w:rPr>
        <w:t xml:space="preserve"> of the i3Forum Fraud Data</w:t>
      </w:r>
      <w:r w:rsidR="009E07F2">
        <w:t>:</w:t>
      </w:r>
    </w:p>
    <w:p w14:paraId="49F62528" w14:textId="00AC9796" w:rsidR="00585C8C" w:rsidRPr="00E3482E" w:rsidRDefault="00585C8C" w:rsidP="008F6615">
      <w:pPr>
        <w:pStyle w:val="Listaszerbekezds"/>
        <w:numPr>
          <w:ilvl w:val="0"/>
          <w:numId w:val="1"/>
        </w:numPr>
        <w:contextualSpacing w:val="0"/>
        <w:jc w:val="both"/>
      </w:pPr>
      <w:r w:rsidRPr="00585C8C">
        <w:rPr>
          <w:b/>
          <w:bCs/>
        </w:rPr>
        <w:t>Purpose:</w:t>
      </w:r>
      <w:r>
        <w:t xml:space="preserve">  The intended purpose </w:t>
      </w:r>
      <w:r w:rsidR="00341B44">
        <w:t xml:space="preserve">for the </w:t>
      </w:r>
      <w:r w:rsidR="004375B7" w:rsidRPr="004375B7">
        <w:t xml:space="preserve">use of the Fraud Data must only be used for the explicit and legitimate purposes of </w:t>
      </w:r>
      <w:r w:rsidR="004375B7">
        <w:t xml:space="preserve">identifying and mitigating </w:t>
      </w:r>
      <w:r w:rsidR="004375B7" w:rsidRPr="004375B7">
        <w:t>fraud</w:t>
      </w:r>
      <w:r w:rsidR="00341B44">
        <w:t>ulent activity in the industry</w:t>
      </w:r>
      <w:r w:rsidR="004375B7" w:rsidRPr="004375B7">
        <w:t xml:space="preserve"> and </w:t>
      </w:r>
      <w:r w:rsidR="00341B44">
        <w:t xml:space="preserve">to enable quicker action in cases of similar fraud </w:t>
      </w:r>
      <w:r w:rsidR="004375B7" w:rsidRPr="004375B7">
        <w:t xml:space="preserve">and </w:t>
      </w:r>
      <w:r w:rsidR="00341B44">
        <w:t xml:space="preserve">each member of the group agrees that the Fraud Data </w:t>
      </w:r>
      <w:r w:rsidR="004375B7" w:rsidRPr="004375B7">
        <w:t>shall not be further processed in a way incompatible with those purposes</w:t>
      </w:r>
      <w:r w:rsidR="00341B44">
        <w:t>.</w:t>
      </w:r>
    </w:p>
    <w:p w14:paraId="350626BE" w14:textId="1A264A1E" w:rsidR="009D7DC5" w:rsidRDefault="009D7DC5" w:rsidP="008F6615">
      <w:pPr>
        <w:pStyle w:val="Listaszerbekezds"/>
        <w:numPr>
          <w:ilvl w:val="0"/>
          <w:numId w:val="1"/>
        </w:numPr>
        <w:contextualSpacing w:val="0"/>
        <w:jc w:val="both"/>
      </w:pPr>
      <w:r w:rsidRPr="00CC77B3">
        <w:rPr>
          <w:b/>
          <w:bCs/>
        </w:rPr>
        <w:t>Reciprocity:</w:t>
      </w:r>
      <w:r>
        <w:t xml:space="preserve">  The Fraud Data relies on member data. Members </w:t>
      </w:r>
      <w:r w:rsidR="00732EB6">
        <w:t xml:space="preserve">are encouraged to </w:t>
      </w:r>
      <w:r>
        <w:t>contribute their own cases to receive benefit from the data shared by other members.</w:t>
      </w:r>
    </w:p>
    <w:p w14:paraId="7BB4573B" w14:textId="109A9BC4" w:rsidR="0099648E" w:rsidRDefault="0099648E" w:rsidP="008F6615">
      <w:pPr>
        <w:pStyle w:val="Listaszerbekezds"/>
        <w:numPr>
          <w:ilvl w:val="0"/>
          <w:numId w:val="1"/>
        </w:numPr>
        <w:ind w:left="357" w:hanging="357"/>
        <w:contextualSpacing w:val="0"/>
      </w:pPr>
      <w:r w:rsidRPr="0099648E">
        <w:rPr>
          <w:b/>
          <w:bCs/>
        </w:rPr>
        <w:t>Sharing of Non-Commercially Sensitive Information</w:t>
      </w:r>
      <w:r>
        <w:t xml:space="preserve">: </w:t>
      </w:r>
      <w:r w:rsidR="009D7DC5">
        <w:t xml:space="preserve">The information shared in the Fraud Data must be non-commercially sensitive information and shall not contain pricing or commercially </w:t>
      </w:r>
      <w:r w:rsidR="009D7DC5" w:rsidRPr="003F0E0A">
        <w:t>confidential information.</w:t>
      </w:r>
    </w:p>
    <w:p w14:paraId="16567576" w14:textId="04444EA3" w:rsidR="007E6499" w:rsidRPr="003F0E0A" w:rsidRDefault="007E6499" w:rsidP="00862092">
      <w:pPr>
        <w:pStyle w:val="Listaszerbekezds"/>
        <w:numPr>
          <w:ilvl w:val="0"/>
          <w:numId w:val="1"/>
        </w:numPr>
        <w:ind w:left="357" w:hanging="357"/>
        <w:contextualSpacing w:val="0"/>
        <w:jc w:val="both"/>
      </w:pPr>
      <w:r>
        <w:rPr>
          <w:b/>
          <w:bCs/>
        </w:rPr>
        <w:t>EU GDPR Compliance</w:t>
      </w:r>
      <w:r w:rsidRPr="007E6499">
        <w:t>:</w:t>
      </w:r>
      <w:r>
        <w:t xml:space="preserve">  The GDPR specifically recognizes the importance of fraud prevention</w:t>
      </w:r>
      <w:r w:rsidR="00862092">
        <w:t xml:space="preserve"> and any processing of personal data contained in the Fraud Data must be in compliance with Recital 47 which states “The processing of personal data strictly necessary for the purposes of preventing fraud also constitutes a legitimate interest of the data controller concerned…”  (See </w:t>
      </w:r>
      <w:hyperlink r:id="rId7" w:history="1">
        <w:r w:rsidR="00862092" w:rsidRPr="001C7BC9">
          <w:rPr>
            <w:rStyle w:val="Hiperhivatkozs"/>
          </w:rPr>
          <w:t>https://www.privacy-regulation.eu/en/recital-47-GDPR.htm</w:t>
        </w:r>
      </w:hyperlink>
      <w:r w:rsidR="00862092">
        <w:t xml:space="preserve"> )</w:t>
      </w:r>
    </w:p>
    <w:p w14:paraId="1E905400" w14:textId="0B0DE37D" w:rsidR="00D47D64" w:rsidRDefault="00585C8C" w:rsidP="00341B44">
      <w:pPr>
        <w:pStyle w:val="Listaszerbekezds"/>
        <w:numPr>
          <w:ilvl w:val="0"/>
          <w:numId w:val="1"/>
        </w:numPr>
        <w:ind w:left="357" w:hanging="357"/>
        <w:contextualSpacing w:val="0"/>
        <w:jc w:val="both"/>
      </w:pPr>
      <w:r>
        <w:rPr>
          <w:b/>
          <w:bCs/>
        </w:rPr>
        <w:t xml:space="preserve">Format of Sharing:  </w:t>
      </w:r>
      <w:r w:rsidRPr="00585C8C">
        <w:t xml:space="preserve">The format of the </w:t>
      </w:r>
      <w:r>
        <w:t>Fraud D</w:t>
      </w:r>
      <w:r w:rsidRPr="00585C8C">
        <w:t xml:space="preserve">ata share </w:t>
      </w:r>
      <w:r>
        <w:t xml:space="preserve">will be limited to emails </w:t>
      </w:r>
      <w:r w:rsidRPr="00585C8C">
        <w:t>directly addressed to the group members</w:t>
      </w:r>
      <w:r>
        <w:t xml:space="preserve"> and including </w:t>
      </w:r>
      <w:r w:rsidRPr="00585C8C">
        <w:t xml:space="preserve">the </w:t>
      </w:r>
      <w:r>
        <w:t>use of g</w:t>
      </w:r>
      <w:r w:rsidRPr="00585C8C">
        <w:t>roup mailbox</w:t>
      </w:r>
      <w:r>
        <w:t>.</w:t>
      </w:r>
      <w:r w:rsidR="00D47D64">
        <w:t xml:space="preserve">  The identity of the sender should be made clear and the date of the incident should be mentioned when reporting Fraud Data.   All emails must be marked as Confidential</w:t>
      </w:r>
      <w:r w:rsidR="000D7CDA">
        <w:t xml:space="preserve"> and the workgroup shall </w:t>
      </w:r>
      <w:r w:rsidR="000D7CDA" w:rsidRPr="000D7CDA">
        <w:rPr>
          <w:color w:val="C00000"/>
          <w:highlight w:val="yellow"/>
        </w:rPr>
        <w:t>a</w:t>
      </w:r>
      <w:r w:rsidR="008A5626" w:rsidRPr="000D7CDA">
        <w:rPr>
          <w:color w:val="C00000"/>
          <w:highlight w:val="yellow"/>
        </w:rPr>
        <w:t>gree on a subject format for the emails so that the</w:t>
      </w:r>
      <w:r w:rsidR="000D7CDA" w:rsidRPr="000D7CDA">
        <w:rPr>
          <w:color w:val="C00000"/>
          <w:highlight w:val="yellow"/>
        </w:rPr>
        <w:t xml:space="preserve"> information shared is consistent and </w:t>
      </w:r>
      <w:r w:rsidR="008A5626" w:rsidRPr="000D7CDA">
        <w:rPr>
          <w:color w:val="C00000"/>
          <w:highlight w:val="yellow"/>
        </w:rPr>
        <w:t>easily recognizable</w:t>
      </w:r>
      <w:r w:rsidR="008A5626">
        <w:rPr>
          <w:color w:val="C00000"/>
        </w:rPr>
        <w:t>.</w:t>
      </w:r>
    </w:p>
    <w:p w14:paraId="37A4B402" w14:textId="64F3B352" w:rsidR="00F20525" w:rsidRPr="003F0E0A" w:rsidRDefault="002B132B" w:rsidP="000B1E27">
      <w:pPr>
        <w:pStyle w:val="Listaszerbekezds"/>
        <w:numPr>
          <w:ilvl w:val="0"/>
          <w:numId w:val="1"/>
        </w:numPr>
        <w:ind w:left="357" w:hanging="357"/>
        <w:contextualSpacing w:val="0"/>
        <w:jc w:val="both"/>
        <w:rPr>
          <w:b/>
          <w:bCs/>
        </w:rPr>
      </w:pPr>
      <w:r w:rsidRPr="003F0E0A">
        <w:rPr>
          <w:b/>
          <w:bCs/>
        </w:rPr>
        <w:t>Anonymization of Supplier</w:t>
      </w:r>
      <w:r w:rsidR="005A621A" w:rsidRPr="003F0E0A">
        <w:rPr>
          <w:b/>
          <w:bCs/>
        </w:rPr>
        <w:t>/Operator</w:t>
      </w:r>
      <w:r w:rsidRPr="003F0E0A">
        <w:rPr>
          <w:b/>
          <w:bCs/>
        </w:rPr>
        <w:t xml:space="preserve">:  </w:t>
      </w:r>
      <w:r w:rsidR="009D7DC5" w:rsidRPr="003F0E0A">
        <w:t>Supplier</w:t>
      </w:r>
      <w:r w:rsidR="005A621A" w:rsidRPr="003F0E0A">
        <w:t>/Operator</w:t>
      </w:r>
      <w:r w:rsidR="009D7DC5" w:rsidRPr="003F0E0A">
        <w:t xml:space="preserve"> subjects must not be identified in the Fraud Data </w:t>
      </w:r>
      <w:r w:rsidR="00643845">
        <w:t xml:space="preserve">(except where such information is available in the public domain) </w:t>
      </w:r>
      <w:r w:rsidR="009D7DC5" w:rsidRPr="003F0E0A">
        <w:t xml:space="preserve">and </w:t>
      </w:r>
      <w:r w:rsidR="00BA3AA7" w:rsidRPr="003F0E0A">
        <w:t xml:space="preserve">the data exchanged </w:t>
      </w:r>
      <w:r w:rsidR="009D7DC5" w:rsidRPr="003F0E0A">
        <w:t xml:space="preserve">shall be limited to </w:t>
      </w:r>
      <w:r w:rsidR="00BA3AA7" w:rsidRPr="003F0E0A">
        <w:t xml:space="preserve">the </w:t>
      </w:r>
      <w:r w:rsidR="009D7DC5" w:rsidRPr="003F0E0A">
        <w:t>call number</w:t>
      </w:r>
      <w:r w:rsidR="00BA3AA7" w:rsidRPr="003F0E0A">
        <w:t xml:space="preserve"> (A or B number)</w:t>
      </w:r>
      <w:r w:rsidR="009D7DC5" w:rsidRPr="003F0E0A">
        <w:t xml:space="preserve"> </w:t>
      </w:r>
      <w:r w:rsidR="00732EB6" w:rsidRPr="003F0E0A">
        <w:t>and routing type</w:t>
      </w:r>
      <w:r w:rsidR="00A074F4" w:rsidRPr="003F0E0A">
        <w:t xml:space="preserve"> </w:t>
      </w:r>
      <w:r w:rsidR="009D7DC5" w:rsidRPr="003F0E0A">
        <w:t>only</w:t>
      </w:r>
      <w:r w:rsidR="00732EB6" w:rsidRPr="003F0E0A">
        <w:t xml:space="preserve"> (</w:t>
      </w:r>
      <w:proofErr w:type="spellStart"/>
      <w:r w:rsidR="00732EB6" w:rsidRPr="003F0E0A">
        <w:t>eg</w:t>
      </w:r>
      <w:proofErr w:type="spellEnd"/>
      <w:r w:rsidR="00732EB6" w:rsidRPr="003F0E0A">
        <w:t>: Direct or Direct + 1)</w:t>
      </w:r>
      <w:r w:rsidR="00BA3AA7" w:rsidRPr="003F0E0A">
        <w:t>.</w:t>
      </w:r>
      <w:r w:rsidR="00643845">
        <w:t xml:space="preserve">  For clarity, a Supplier/Operator which directly terminates the traffic may </w:t>
      </w:r>
      <w:r w:rsidR="00E3482E">
        <w:t xml:space="preserve">only </w:t>
      </w:r>
      <w:r w:rsidR="00643845">
        <w:t xml:space="preserve">be identified where such information is </w:t>
      </w:r>
      <w:r w:rsidR="00732EB6" w:rsidRPr="003F0E0A">
        <w:t>publicly available</w:t>
      </w:r>
      <w:r w:rsidR="00643845">
        <w:t xml:space="preserve"> (</w:t>
      </w:r>
      <w:proofErr w:type="spellStart"/>
      <w:r w:rsidR="00643845">
        <w:t>eg</w:t>
      </w:r>
      <w:proofErr w:type="spellEnd"/>
      <w:r w:rsidR="00643845">
        <w:t xml:space="preserve">: where the Supplier/Operator is </w:t>
      </w:r>
      <w:r w:rsidR="00E3482E">
        <w:t xml:space="preserve">publicly identified as </w:t>
      </w:r>
      <w:r w:rsidR="00643845">
        <w:t xml:space="preserve">the number range owner), </w:t>
      </w:r>
      <w:r w:rsidR="004375B7">
        <w:t>however, indirect</w:t>
      </w:r>
      <w:r w:rsidR="00643845">
        <w:t xml:space="preserve"> suppliers should not be identified as this </w:t>
      </w:r>
      <w:r w:rsidR="00E3482E">
        <w:t xml:space="preserve">may be deemed as </w:t>
      </w:r>
      <w:r w:rsidR="00643845">
        <w:t>commercially sensitive information)</w:t>
      </w:r>
    </w:p>
    <w:p w14:paraId="5ADFB298" w14:textId="30AF9BE1" w:rsidR="002B132B" w:rsidRPr="00E3482E" w:rsidRDefault="00F20525" w:rsidP="00137379">
      <w:pPr>
        <w:pStyle w:val="Listaszerbekezds"/>
        <w:numPr>
          <w:ilvl w:val="0"/>
          <w:numId w:val="1"/>
        </w:numPr>
        <w:ind w:left="357" w:hanging="357"/>
        <w:contextualSpacing w:val="0"/>
        <w:jc w:val="both"/>
      </w:pPr>
      <w:r w:rsidRPr="00137379">
        <w:rPr>
          <w:b/>
          <w:bCs/>
        </w:rPr>
        <w:lastRenderedPageBreak/>
        <w:t xml:space="preserve">Fraud Classifications:  </w:t>
      </w:r>
      <w:r w:rsidR="00BA3AA7" w:rsidRPr="00137379">
        <w:t>Potential fraud c</w:t>
      </w:r>
      <w:r w:rsidRPr="00137379">
        <w:t xml:space="preserve">all </w:t>
      </w:r>
      <w:r w:rsidRPr="00E3482E">
        <w:t xml:space="preserve">number </w:t>
      </w:r>
      <w:r w:rsidR="00BA3AA7" w:rsidRPr="00E3482E">
        <w:t xml:space="preserve">must be </w:t>
      </w:r>
      <w:r w:rsidRPr="00E3482E">
        <w:t xml:space="preserve">associated by </w:t>
      </w:r>
      <w:r w:rsidR="00BA3AA7" w:rsidRPr="00E3482E">
        <w:t xml:space="preserve">the applicable </w:t>
      </w:r>
      <w:r w:rsidRPr="00E3482E">
        <w:t xml:space="preserve">fraud classification as determined by the Fraud Workgroup. </w:t>
      </w:r>
    </w:p>
    <w:p w14:paraId="4382FBDF" w14:textId="32F33A1E" w:rsidR="00D47D64" w:rsidRPr="00E3482E" w:rsidRDefault="00D47D64" w:rsidP="004375B7">
      <w:pPr>
        <w:pStyle w:val="Listaszerbekezds"/>
        <w:numPr>
          <w:ilvl w:val="0"/>
          <w:numId w:val="1"/>
        </w:numPr>
        <w:ind w:left="357" w:hanging="357"/>
        <w:contextualSpacing w:val="0"/>
      </w:pPr>
      <w:r w:rsidRPr="00E3482E">
        <w:rPr>
          <w:b/>
          <w:bCs/>
        </w:rPr>
        <w:t>Restrictions on Use of the Fraud Data:</w:t>
      </w:r>
      <w:r w:rsidRPr="00E3482E">
        <w:t xml:space="preserve">  The Fraud Data reported by a carrier within the group, will not be used for fraud disputes, will not be used as evidence of fraud by the originating carrier (in case the latter is also a member of the working group). Further, the Fraud Data reported cannot be used for police/regulatory reports.  The Fraud Data sharing and Fraud disputes management must be kept as separate processes and one should not influence the other.</w:t>
      </w:r>
      <w:r w:rsidR="000B1E27" w:rsidRPr="00E3482E">
        <w:t xml:space="preserve"> The Fraud Data reported by a carrier within the group will always be subject to </w:t>
      </w:r>
      <w:r w:rsidR="00A92C6F" w:rsidRPr="00E3482E">
        <w:t xml:space="preserve">Accuracy and </w:t>
      </w:r>
      <w:r w:rsidR="000B1E27" w:rsidRPr="00E3482E">
        <w:t xml:space="preserve">Accountability requirements </w:t>
      </w:r>
      <w:r w:rsidR="00A92C6F" w:rsidRPr="00E3482E">
        <w:t xml:space="preserve">as </w:t>
      </w:r>
      <w:r w:rsidR="000B1E27" w:rsidRPr="00E3482E">
        <w:t xml:space="preserve">set forth below. </w:t>
      </w:r>
    </w:p>
    <w:p w14:paraId="6F6C281C" w14:textId="2C4082CA" w:rsidR="009E07F2" w:rsidRDefault="009E07F2" w:rsidP="00137379">
      <w:pPr>
        <w:pStyle w:val="Listaszerbekezds"/>
        <w:numPr>
          <w:ilvl w:val="0"/>
          <w:numId w:val="1"/>
        </w:numPr>
        <w:ind w:left="357" w:hanging="357"/>
        <w:contextualSpacing w:val="0"/>
        <w:jc w:val="both"/>
      </w:pPr>
      <w:r w:rsidRPr="009E07F2">
        <w:rPr>
          <w:b/>
          <w:bCs/>
        </w:rPr>
        <w:t>Independent Action:</w:t>
      </w:r>
      <w:r>
        <w:t xml:space="preserve">  </w:t>
      </w:r>
      <w:r w:rsidR="00C26CED">
        <w:t xml:space="preserve">Actions </w:t>
      </w:r>
      <w:r>
        <w:t xml:space="preserve">for fraud detection and prevention should be taken </w:t>
      </w:r>
      <w:r w:rsidR="00C26CED">
        <w:t xml:space="preserve">individually by a </w:t>
      </w:r>
      <w:r w:rsidR="0099648E">
        <w:t xml:space="preserve">member and </w:t>
      </w:r>
      <w:r>
        <w:t xml:space="preserve">should always </w:t>
      </w:r>
      <w:r w:rsidR="00C26CED">
        <w:t xml:space="preserve">be </w:t>
      </w:r>
      <w:r>
        <w:t xml:space="preserve">done </w:t>
      </w:r>
      <w:r w:rsidR="00C26CED" w:rsidRPr="00C26CED">
        <w:t>after exercising independent judgment</w:t>
      </w:r>
      <w:r>
        <w:t>.</w:t>
      </w:r>
      <w:r w:rsidR="0099648E">
        <w:t xml:space="preserve">  All members must always unilaterally decide to use the information contained in the Fraud Data according to your company’s risk appetite.</w:t>
      </w:r>
    </w:p>
    <w:p w14:paraId="1089402F" w14:textId="750AC09E" w:rsidR="00C26CED" w:rsidRDefault="009E07F2" w:rsidP="008F6615">
      <w:pPr>
        <w:pStyle w:val="Listaszerbekezds"/>
        <w:numPr>
          <w:ilvl w:val="0"/>
          <w:numId w:val="1"/>
        </w:numPr>
        <w:contextualSpacing w:val="0"/>
        <w:jc w:val="both"/>
      </w:pPr>
      <w:r w:rsidRPr="009E07F2">
        <w:rPr>
          <w:b/>
          <w:bCs/>
        </w:rPr>
        <w:t xml:space="preserve">No </w:t>
      </w:r>
      <w:r w:rsidR="0099648E">
        <w:rPr>
          <w:b/>
          <w:bCs/>
        </w:rPr>
        <w:t>Restraint of Trade/</w:t>
      </w:r>
      <w:r w:rsidR="00C26CED" w:rsidRPr="009E07F2">
        <w:rPr>
          <w:b/>
          <w:bCs/>
        </w:rPr>
        <w:t>Boycotting</w:t>
      </w:r>
      <w:r w:rsidR="0099648E">
        <w:rPr>
          <w:b/>
          <w:bCs/>
        </w:rPr>
        <w:t>/Blacklisting</w:t>
      </w:r>
      <w:r w:rsidR="00C26CED" w:rsidRPr="009E07F2">
        <w:rPr>
          <w:b/>
          <w:bCs/>
        </w:rPr>
        <w:t>:</w:t>
      </w:r>
      <w:r w:rsidRPr="009E07F2">
        <w:rPr>
          <w:b/>
          <w:bCs/>
        </w:rPr>
        <w:t xml:space="preserve">  </w:t>
      </w:r>
      <w:r w:rsidR="00C26CED">
        <w:t xml:space="preserve">It is critical to avoid concerted activity </w:t>
      </w:r>
      <w:r w:rsidR="0099648E">
        <w:t xml:space="preserve">and discussions on boycotts or blacklisting that unreasonably restrain trade.  </w:t>
      </w:r>
      <w:r w:rsidR="00C26CED">
        <w:t xml:space="preserve">Keep in mind, </w:t>
      </w:r>
      <w:r w:rsidR="0099648E">
        <w:t xml:space="preserve">this includes </w:t>
      </w:r>
      <w:r w:rsidR="00C26CED">
        <w:t>even</w:t>
      </w:r>
      <w:r>
        <w:t xml:space="preserve"> </w:t>
      </w:r>
      <w:r w:rsidR="00C26CED">
        <w:t xml:space="preserve">informal discussions among </w:t>
      </w:r>
      <w:r>
        <w:t>companies</w:t>
      </w:r>
      <w:r w:rsidR="00C26CED">
        <w:t xml:space="preserve"> concerning positions on boycotting </w:t>
      </w:r>
      <w:r w:rsidR="0099648E">
        <w:t>or blacklisting</w:t>
      </w:r>
      <w:r w:rsidR="00C26CED">
        <w:t>.</w:t>
      </w:r>
      <w:r w:rsidR="0099648E">
        <w:t xml:space="preserve">  A group boycott or blacklist is an agreement between competitors to refuse to conduct business with another competitor, individual, company, or consumer to restrain competition.  </w:t>
      </w:r>
    </w:p>
    <w:p w14:paraId="7DE18986" w14:textId="25445BB7" w:rsidR="00CC77B3" w:rsidRPr="009D7DC5" w:rsidRDefault="00CC77B3" w:rsidP="008F6615">
      <w:pPr>
        <w:pStyle w:val="Listaszerbekezds"/>
        <w:numPr>
          <w:ilvl w:val="0"/>
          <w:numId w:val="1"/>
        </w:numPr>
        <w:contextualSpacing w:val="0"/>
        <w:jc w:val="both"/>
      </w:pPr>
      <w:r w:rsidRPr="00CC77B3">
        <w:rPr>
          <w:b/>
          <w:bCs/>
        </w:rPr>
        <w:t xml:space="preserve">Transparency: </w:t>
      </w:r>
      <w:r w:rsidR="009D7DC5" w:rsidRPr="009D7DC5">
        <w:t>If queried, supplier</w:t>
      </w:r>
      <w:r w:rsidR="00BA3AA7">
        <w:t>/operator</w:t>
      </w:r>
      <w:r w:rsidR="009D7DC5" w:rsidRPr="009D7DC5">
        <w:t xml:space="preserve"> s</w:t>
      </w:r>
      <w:r w:rsidRPr="009D7DC5">
        <w:t xml:space="preserve">ubjects have a right to know how </w:t>
      </w:r>
      <w:r w:rsidR="00BA3AA7">
        <w:t>Fraud D</w:t>
      </w:r>
      <w:r w:rsidR="00BA3AA7" w:rsidRPr="009D7DC5">
        <w:t xml:space="preserve">ata </w:t>
      </w:r>
      <w:r w:rsidR="00BA3AA7">
        <w:t>related to them was determined and shall have an opportunity to correct any inaccurate data</w:t>
      </w:r>
      <w:r w:rsidRPr="009D7DC5">
        <w:t>.</w:t>
      </w:r>
    </w:p>
    <w:p w14:paraId="46CC5CE9" w14:textId="10F6481A" w:rsidR="00CC77B3" w:rsidRDefault="00CC77B3" w:rsidP="008F6615">
      <w:pPr>
        <w:pStyle w:val="Listaszerbekezds"/>
        <w:numPr>
          <w:ilvl w:val="0"/>
          <w:numId w:val="1"/>
        </w:numPr>
        <w:contextualSpacing w:val="0"/>
        <w:jc w:val="both"/>
      </w:pPr>
      <w:r w:rsidRPr="00CC77B3">
        <w:rPr>
          <w:b/>
          <w:bCs/>
        </w:rPr>
        <w:t xml:space="preserve">Lawfulness (Standard of Proof):  </w:t>
      </w:r>
      <w:r>
        <w:t xml:space="preserve">Cases filed to the Fraud Data must be supported by evidence and meet the </w:t>
      </w:r>
      <w:r w:rsidR="00BA3AA7">
        <w:t>following standard of proof</w:t>
      </w:r>
      <w:r>
        <w:t>:</w:t>
      </w:r>
    </w:p>
    <w:p w14:paraId="29152120" w14:textId="77777777" w:rsidR="00CC77B3" w:rsidRDefault="00CC77B3" w:rsidP="00CC77B3">
      <w:pPr>
        <w:pStyle w:val="Listaszerbekezds"/>
        <w:numPr>
          <w:ilvl w:val="1"/>
          <w:numId w:val="2"/>
        </w:numPr>
        <w:jc w:val="both"/>
      </w:pPr>
      <w:r>
        <w:t>That there are reasonable grounds to believe that a Fraud or Financial Crime has been committed or attempted;</w:t>
      </w:r>
    </w:p>
    <w:p w14:paraId="2AA4913B" w14:textId="0F29F57A" w:rsidR="00CC77B3" w:rsidRPr="00137379" w:rsidRDefault="00CC77B3" w:rsidP="00CC77B3">
      <w:pPr>
        <w:pStyle w:val="Listaszerbekezds"/>
        <w:numPr>
          <w:ilvl w:val="1"/>
          <w:numId w:val="2"/>
        </w:numPr>
        <w:jc w:val="both"/>
      </w:pPr>
      <w:r>
        <w:t xml:space="preserve">That the </w:t>
      </w:r>
      <w:r w:rsidR="00B76F12">
        <w:t xml:space="preserve">internal </w:t>
      </w:r>
      <w:r w:rsidR="003D4B51">
        <w:t xml:space="preserve">supporting </w:t>
      </w:r>
      <w:r>
        <w:t xml:space="preserve">evidence </w:t>
      </w:r>
      <w:r w:rsidR="00B76F12">
        <w:t xml:space="preserve">standard for </w:t>
      </w:r>
      <w:r w:rsidR="00A92C6F">
        <w:t>reporting Fraud</w:t>
      </w:r>
      <w:r w:rsidR="00B76F12">
        <w:t xml:space="preserve"> </w:t>
      </w:r>
      <w:r>
        <w:t>must be clear, relevant and rigorous such that the member could confidently report the conduct</w:t>
      </w:r>
      <w:r w:rsidR="003D4B51">
        <w:t xml:space="preserve"> to the Fraud </w:t>
      </w:r>
      <w:r w:rsidR="003D4B51" w:rsidRPr="00137379">
        <w:t>Workgroup</w:t>
      </w:r>
      <w:r w:rsidRPr="00137379">
        <w:t>;</w:t>
      </w:r>
      <w:r w:rsidR="00BA3AA7" w:rsidRPr="00137379">
        <w:t xml:space="preserve"> (Note: A clear standard to consider is whether the reporting party could confidently report the conduct to law enforcement)</w:t>
      </w:r>
      <w:r w:rsidR="00EE0950" w:rsidRPr="00137379">
        <w:t>; and</w:t>
      </w:r>
    </w:p>
    <w:p w14:paraId="538FD474" w14:textId="3EF5D331" w:rsidR="00CC77B3" w:rsidRPr="00137379" w:rsidRDefault="00CC77B3" w:rsidP="00137379">
      <w:pPr>
        <w:pStyle w:val="Listaszerbekezds"/>
        <w:numPr>
          <w:ilvl w:val="1"/>
          <w:numId w:val="2"/>
        </w:numPr>
        <w:ind w:left="1077" w:hanging="357"/>
        <w:contextualSpacing w:val="0"/>
        <w:jc w:val="both"/>
      </w:pPr>
      <w:r w:rsidRPr="00137379">
        <w:t xml:space="preserve">In order to </w:t>
      </w:r>
      <w:r w:rsidR="00BA3AA7" w:rsidRPr="00137379">
        <w:t xml:space="preserve">report Fraud Data </w:t>
      </w:r>
      <w:r w:rsidRPr="00137379">
        <w:t xml:space="preserve">the member must have </w:t>
      </w:r>
      <w:r w:rsidR="00BA3AA7" w:rsidRPr="00137379">
        <w:t xml:space="preserve">either: (i) </w:t>
      </w:r>
      <w:r w:rsidR="00434EDB" w:rsidRPr="00137379">
        <w:t>initiated internal fraud investigations</w:t>
      </w:r>
      <w:r w:rsidR="00BA3AA7" w:rsidRPr="00137379">
        <w:t>; (ii)</w:t>
      </w:r>
      <w:r w:rsidR="00434EDB" w:rsidRPr="00137379">
        <w:t xml:space="preserve"> </w:t>
      </w:r>
      <w:r w:rsidRPr="00137379">
        <w:t xml:space="preserve">rejected, </w:t>
      </w:r>
      <w:r w:rsidR="009D7DC5" w:rsidRPr="00137379">
        <w:t>disputed</w:t>
      </w:r>
      <w:r w:rsidR="00434EDB" w:rsidRPr="00137379">
        <w:t>,</w:t>
      </w:r>
      <w:r w:rsidR="009D7DC5" w:rsidRPr="00137379">
        <w:t xml:space="preserve"> </w:t>
      </w:r>
      <w:r w:rsidR="00434EDB" w:rsidRPr="00137379">
        <w:t xml:space="preserve">blocked, </w:t>
      </w:r>
      <w:r w:rsidRPr="00137379">
        <w:t>withdrawn or terminated a Product</w:t>
      </w:r>
      <w:r w:rsidR="009D7DC5" w:rsidRPr="00137379">
        <w:t>/service</w:t>
      </w:r>
      <w:r w:rsidRPr="00137379">
        <w:t xml:space="preserve"> on the basis of </w:t>
      </w:r>
      <w:r w:rsidR="00434EDB" w:rsidRPr="00137379">
        <w:t>the alleged fraud</w:t>
      </w:r>
      <w:r w:rsidR="00BA3AA7" w:rsidRPr="00137379">
        <w:t>; or (iii) reported the fraudulent activity to law enforcement</w:t>
      </w:r>
      <w:r w:rsidRPr="00137379">
        <w:t>.</w:t>
      </w:r>
    </w:p>
    <w:p w14:paraId="5717A4B1" w14:textId="7A7EE05C" w:rsidR="00CC77B3" w:rsidRDefault="00CC77B3" w:rsidP="00137379">
      <w:pPr>
        <w:pStyle w:val="Listaszerbekezds"/>
        <w:numPr>
          <w:ilvl w:val="0"/>
          <w:numId w:val="1"/>
        </w:numPr>
        <w:spacing w:before="160"/>
        <w:ind w:left="357" w:hanging="357"/>
        <w:contextualSpacing w:val="0"/>
        <w:jc w:val="both"/>
      </w:pPr>
      <w:r w:rsidRPr="00CC77B3">
        <w:rPr>
          <w:b/>
          <w:bCs/>
        </w:rPr>
        <w:t xml:space="preserve">Fairness (Proportionality):  </w:t>
      </w:r>
      <w:r>
        <w:t xml:space="preserve">Members </w:t>
      </w:r>
      <w:r w:rsidR="004375B7">
        <w:t xml:space="preserve">must </w:t>
      </w:r>
      <w:r w:rsidR="000364EC">
        <w:t xml:space="preserve">independently determine to </w:t>
      </w:r>
      <w:r>
        <w:t>interpret</w:t>
      </w:r>
      <w:r w:rsidR="000364EC">
        <w:t xml:space="preserve"> their response to the Fraud </w:t>
      </w:r>
      <w:r w:rsidR="000B1E27">
        <w:t>D</w:t>
      </w:r>
      <w:r w:rsidR="000364EC">
        <w:t xml:space="preserve">ata </w:t>
      </w:r>
      <w:r>
        <w:t>in a proportional manner according to their own risk appetite and the product being assessed.</w:t>
      </w:r>
    </w:p>
    <w:p w14:paraId="5CDB9B70" w14:textId="26005DDA" w:rsidR="00CC77B3" w:rsidRPr="00925DDA" w:rsidRDefault="00CC77B3" w:rsidP="00542472">
      <w:pPr>
        <w:pStyle w:val="Listaszerbekezds"/>
        <w:numPr>
          <w:ilvl w:val="0"/>
          <w:numId w:val="1"/>
        </w:numPr>
        <w:ind w:left="357" w:hanging="357"/>
        <w:contextualSpacing w:val="0"/>
        <w:jc w:val="both"/>
        <w:rPr>
          <w:highlight w:val="yellow"/>
        </w:rPr>
      </w:pPr>
      <w:r w:rsidRPr="00CC77B3">
        <w:rPr>
          <w:b/>
          <w:bCs/>
        </w:rPr>
        <w:t xml:space="preserve">Accuracy:  </w:t>
      </w:r>
      <w:r>
        <w:t xml:space="preserve">All </w:t>
      </w:r>
      <w:r w:rsidRPr="004375B7">
        <w:t xml:space="preserve">data that is captured must </w:t>
      </w:r>
      <w:r w:rsidR="00D86F3F" w:rsidRPr="004375B7">
        <w:t xml:space="preserve">meet the Standard of Proof and </w:t>
      </w:r>
      <w:r w:rsidRPr="004375B7">
        <w:t xml:space="preserve">be accurate </w:t>
      </w:r>
      <w:r w:rsidR="005A621A" w:rsidRPr="004375B7">
        <w:t xml:space="preserve">as </w:t>
      </w:r>
      <w:r w:rsidRPr="004375B7">
        <w:t xml:space="preserve">of the </w:t>
      </w:r>
      <w:r w:rsidR="00542472" w:rsidRPr="004375B7">
        <w:t xml:space="preserve">date of exchange </w:t>
      </w:r>
      <w:r w:rsidR="00542472" w:rsidRPr="00925DDA">
        <w:rPr>
          <w:color w:val="C00000"/>
          <w:highlight w:val="yellow"/>
        </w:rPr>
        <w:t xml:space="preserve">and </w:t>
      </w:r>
      <w:r w:rsidR="008A5626" w:rsidRPr="00925DDA">
        <w:rPr>
          <w:color w:val="C00000"/>
          <w:highlight w:val="yellow"/>
        </w:rPr>
        <w:t xml:space="preserve">should the </w:t>
      </w:r>
      <w:r w:rsidR="000D7CDA">
        <w:rPr>
          <w:color w:val="C00000"/>
          <w:highlight w:val="yellow"/>
        </w:rPr>
        <w:t xml:space="preserve">disclosing </w:t>
      </w:r>
      <w:r w:rsidR="008A5626" w:rsidRPr="00925DDA">
        <w:rPr>
          <w:color w:val="C00000"/>
          <w:highlight w:val="yellow"/>
        </w:rPr>
        <w:t>carrier notice a change</w:t>
      </w:r>
      <w:r w:rsidR="000D7CDA">
        <w:rPr>
          <w:color w:val="C00000"/>
          <w:highlight w:val="yellow"/>
        </w:rPr>
        <w:t xml:space="preserve"> after disclosure</w:t>
      </w:r>
      <w:r w:rsidR="008A5626" w:rsidRPr="00925DDA">
        <w:rPr>
          <w:color w:val="C00000"/>
          <w:highlight w:val="yellow"/>
        </w:rPr>
        <w:t>, then</w:t>
      </w:r>
      <w:r w:rsidR="000D7CDA">
        <w:rPr>
          <w:color w:val="C00000"/>
          <w:highlight w:val="yellow"/>
        </w:rPr>
        <w:t xml:space="preserve"> the </w:t>
      </w:r>
      <w:r w:rsidR="00542472" w:rsidRPr="00925DDA">
        <w:rPr>
          <w:highlight w:val="yellow"/>
        </w:rPr>
        <w:t>Fraud Data must be updated to ensure accuracy</w:t>
      </w:r>
      <w:r w:rsidRPr="00925DDA">
        <w:rPr>
          <w:highlight w:val="yellow"/>
        </w:rPr>
        <w:t>.</w:t>
      </w:r>
      <w:r w:rsidR="008A5626" w:rsidRPr="00925DDA">
        <w:rPr>
          <w:color w:val="C00000"/>
          <w:highlight w:val="yellow"/>
        </w:rPr>
        <w:t xml:space="preserve"> </w:t>
      </w:r>
      <w:r w:rsidR="000D7CDA">
        <w:rPr>
          <w:color w:val="C00000"/>
          <w:highlight w:val="yellow"/>
        </w:rPr>
        <w:t xml:space="preserve">The Members acknowledge </w:t>
      </w:r>
      <w:r w:rsidR="00F562F5">
        <w:rPr>
          <w:color w:val="C00000"/>
          <w:highlight w:val="yellow"/>
        </w:rPr>
        <w:t>any</w:t>
      </w:r>
      <w:r w:rsidR="000D7CDA">
        <w:rPr>
          <w:color w:val="C00000"/>
          <w:highlight w:val="yellow"/>
        </w:rPr>
        <w:t xml:space="preserve"> Fraud Data provided</w:t>
      </w:r>
      <w:r w:rsidR="008A5626" w:rsidRPr="00925DDA">
        <w:rPr>
          <w:color w:val="C00000"/>
          <w:highlight w:val="yellow"/>
        </w:rPr>
        <w:t xml:space="preserve"> may change over time and become ‘non-fraudulent’ after a </w:t>
      </w:r>
      <w:r w:rsidR="00F562F5">
        <w:rPr>
          <w:color w:val="C00000"/>
          <w:highlight w:val="yellow"/>
        </w:rPr>
        <w:t xml:space="preserve">period of </w:t>
      </w:r>
      <w:r w:rsidR="008A5626" w:rsidRPr="00925DDA">
        <w:rPr>
          <w:color w:val="C00000"/>
          <w:highlight w:val="yellow"/>
        </w:rPr>
        <w:t>time</w:t>
      </w:r>
      <w:r w:rsidR="000D7CDA">
        <w:rPr>
          <w:color w:val="C00000"/>
          <w:highlight w:val="yellow"/>
        </w:rPr>
        <w:t xml:space="preserve"> and </w:t>
      </w:r>
      <w:r w:rsidR="00F562F5">
        <w:rPr>
          <w:color w:val="C00000"/>
          <w:highlight w:val="yellow"/>
        </w:rPr>
        <w:t xml:space="preserve">any Member relying on the Fraud Data should independently check as to </w:t>
      </w:r>
      <w:r w:rsidR="008A5626" w:rsidRPr="00925DDA">
        <w:rPr>
          <w:color w:val="C00000"/>
          <w:highlight w:val="yellow"/>
        </w:rPr>
        <w:t xml:space="preserve">whether </w:t>
      </w:r>
      <w:r w:rsidR="00F562F5">
        <w:rPr>
          <w:color w:val="C00000"/>
          <w:highlight w:val="yellow"/>
        </w:rPr>
        <w:t>the num</w:t>
      </w:r>
      <w:r w:rsidR="008A5626" w:rsidRPr="00925DDA">
        <w:rPr>
          <w:color w:val="C00000"/>
          <w:highlight w:val="yellow"/>
        </w:rPr>
        <w:t>b</w:t>
      </w:r>
      <w:r w:rsidR="00F562F5">
        <w:rPr>
          <w:color w:val="C00000"/>
          <w:highlight w:val="yellow"/>
        </w:rPr>
        <w:t>e</w:t>
      </w:r>
      <w:r w:rsidR="008A5626" w:rsidRPr="00925DDA">
        <w:rPr>
          <w:color w:val="C00000"/>
          <w:highlight w:val="yellow"/>
        </w:rPr>
        <w:t>r</w:t>
      </w:r>
      <w:r w:rsidR="00F562F5">
        <w:rPr>
          <w:color w:val="C00000"/>
          <w:highlight w:val="yellow"/>
        </w:rPr>
        <w:t>(s)</w:t>
      </w:r>
      <w:r w:rsidR="008A5626" w:rsidRPr="00925DDA">
        <w:rPr>
          <w:color w:val="C00000"/>
          <w:highlight w:val="yellow"/>
        </w:rPr>
        <w:t xml:space="preserve"> remains fraud</w:t>
      </w:r>
      <w:r w:rsidR="00F562F5">
        <w:rPr>
          <w:color w:val="C00000"/>
          <w:highlight w:val="yellow"/>
        </w:rPr>
        <w:t>ulent</w:t>
      </w:r>
      <w:r w:rsidR="008A5626" w:rsidRPr="00925DDA">
        <w:rPr>
          <w:color w:val="C00000"/>
          <w:highlight w:val="yellow"/>
        </w:rPr>
        <w:t xml:space="preserve"> or not</w:t>
      </w:r>
      <w:r w:rsidR="00F562F5">
        <w:rPr>
          <w:color w:val="C00000"/>
          <w:highlight w:val="yellow"/>
        </w:rPr>
        <w:t>.</w:t>
      </w:r>
    </w:p>
    <w:p w14:paraId="6E55CEBD" w14:textId="333D95F9" w:rsidR="00E411DC" w:rsidRPr="004375B7" w:rsidRDefault="00E411DC" w:rsidP="00542472">
      <w:pPr>
        <w:pStyle w:val="Listaszerbekezds"/>
        <w:numPr>
          <w:ilvl w:val="0"/>
          <w:numId w:val="1"/>
        </w:numPr>
        <w:ind w:left="357" w:hanging="357"/>
        <w:contextualSpacing w:val="0"/>
        <w:jc w:val="both"/>
      </w:pPr>
      <w:r w:rsidRPr="004375B7">
        <w:rPr>
          <w:b/>
          <w:bCs/>
        </w:rPr>
        <w:lastRenderedPageBreak/>
        <w:t>Confidentiality</w:t>
      </w:r>
      <w:r w:rsidR="00137379" w:rsidRPr="004375B7">
        <w:rPr>
          <w:b/>
          <w:bCs/>
        </w:rPr>
        <w:t>:</w:t>
      </w:r>
      <w:r w:rsidRPr="004375B7">
        <w:t xml:space="preserve"> </w:t>
      </w:r>
      <w:r w:rsidR="00A92C6F" w:rsidRPr="004375B7">
        <w:t xml:space="preserve">  All information </w:t>
      </w:r>
      <w:r w:rsidR="007A1028" w:rsidRPr="004375B7">
        <w:t xml:space="preserve">(including Fraud Data) </w:t>
      </w:r>
      <w:r w:rsidR="00A92C6F" w:rsidRPr="004375B7">
        <w:t xml:space="preserve">shared within the group </w:t>
      </w:r>
      <w:r w:rsidR="00D12A32" w:rsidRPr="004375B7">
        <w:t xml:space="preserve">shall be treated as confidential and </w:t>
      </w:r>
      <w:r w:rsidR="007A1028" w:rsidRPr="004375B7">
        <w:t xml:space="preserve">shall only be used </w:t>
      </w:r>
      <w:r w:rsidR="00D12A32" w:rsidRPr="004375B7">
        <w:t xml:space="preserve">for the Purpose of Sharing as set forth above (“Confidential Information”).  The receiving party shall keep the Confidential Information received from any disclosing party confidential and shall not disclose or disseminate the Confidential Information </w:t>
      </w:r>
      <w:r w:rsidRPr="004375B7">
        <w:t>outside of the group</w:t>
      </w:r>
      <w:r w:rsidR="00E3482E" w:rsidRPr="004375B7">
        <w:t xml:space="preserve"> members (except where a receiving party becomes compelled by an order of any court of competent jurisdiction or by law)</w:t>
      </w:r>
      <w:r w:rsidR="00A92C6F" w:rsidRPr="004375B7">
        <w:t xml:space="preserve">. </w:t>
      </w:r>
      <w:r w:rsidR="00DF4A01" w:rsidRPr="004375B7">
        <w:t xml:space="preserve"> </w:t>
      </w:r>
    </w:p>
    <w:p w14:paraId="57B580A0" w14:textId="17ABC1FC" w:rsidR="00743B40" w:rsidRPr="004375B7" w:rsidRDefault="00743B40" w:rsidP="00743B40">
      <w:pPr>
        <w:pStyle w:val="Listaszerbekezds"/>
        <w:numPr>
          <w:ilvl w:val="0"/>
          <w:numId w:val="1"/>
        </w:numPr>
        <w:spacing w:line="252" w:lineRule="auto"/>
        <w:jc w:val="both"/>
        <w:rPr>
          <w:rFonts w:ascii="Calibri" w:hAnsi="Calibri" w:cs="Calibri"/>
        </w:rPr>
      </w:pPr>
      <w:r w:rsidRPr="004375B7">
        <w:rPr>
          <w:b/>
          <w:bCs/>
        </w:rPr>
        <w:t>Accountability:</w:t>
      </w:r>
      <w:r w:rsidRPr="004375B7">
        <w:t xml:space="preserve"> The </w:t>
      </w:r>
      <w:r w:rsidR="000B1E27" w:rsidRPr="004375B7">
        <w:t>m</w:t>
      </w:r>
      <w:r w:rsidRPr="004375B7">
        <w:t xml:space="preserve">ember reporting Fraud Data </w:t>
      </w:r>
      <w:r w:rsidR="000B1E27" w:rsidRPr="004375B7">
        <w:t xml:space="preserve">will </w:t>
      </w:r>
      <w:r w:rsidRPr="004375B7">
        <w:t xml:space="preserve">remain </w:t>
      </w:r>
      <w:r w:rsidR="000B1E27" w:rsidRPr="004375B7">
        <w:t xml:space="preserve">responsible </w:t>
      </w:r>
      <w:r w:rsidRPr="004375B7">
        <w:t>for following the i3 forum fraud dispute resolution recommended process</w:t>
      </w:r>
      <w:r w:rsidR="004375B7">
        <w:t>es</w:t>
      </w:r>
      <w:r w:rsidRPr="004375B7">
        <w:t xml:space="preserve"> and or other bilateral contractual clauses, outside the Fraud Data </w:t>
      </w:r>
      <w:r w:rsidR="000B1E27" w:rsidRPr="004375B7">
        <w:t>s</w:t>
      </w:r>
      <w:r w:rsidRPr="004375B7">
        <w:t>haring</w:t>
      </w:r>
      <w:r w:rsidR="000B1E27" w:rsidRPr="004375B7">
        <w:t xml:space="preserve"> arrangement set forth herein</w:t>
      </w:r>
      <w:r w:rsidRPr="004375B7">
        <w:t xml:space="preserve">, even if as </w:t>
      </w:r>
      <w:r w:rsidR="004375B7">
        <w:t>s</w:t>
      </w:r>
      <w:r w:rsidRPr="004375B7">
        <w:t xml:space="preserve">upplier or </w:t>
      </w:r>
      <w:r w:rsidR="004375B7">
        <w:t>r</w:t>
      </w:r>
      <w:r w:rsidRPr="004375B7">
        <w:t>ecipient of service involved is another i3</w:t>
      </w:r>
      <w:r w:rsidR="004375B7">
        <w:t>F</w:t>
      </w:r>
      <w:r w:rsidRPr="004375B7">
        <w:t>orum member.</w:t>
      </w:r>
    </w:p>
    <w:p w14:paraId="2BE3E3C5" w14:textId="77777777" w:rsidR="00743B40" w:rsidRPr="00743B40" w:rsidRDefault="00743B40" w:rsidP="00743B40">
      <w:pPr>
        <w:jc w:val="both"/>
        <w:rPr>
          <w:color w:val="4472C4" w:themeColor="accent1"/>
        </w:rPr>
      </w:pPr>
    </w:p>
    <w:p w14:paraId="38232853" w14:textId="78F8FCFE" w:rsidR="00CC77B3" w:rsidRDefault="00CC77B3" w:rsidP="00D86F3F">
      <w:pPr>
        <w:jc w:val="both"/>
      </w:pPr>
    </w:p>
    <w:sectPr w:rsidR="00CC77B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60B91" w14:textId="77777777" w:rsidR="00612FC6" w:rsidRDefault="00612FC6" w:rsidP="008F6615">
      <w:pPr>
        <w:spacing w:after="0" w:line="240" w:lineRule="auto"/>
      </w:pPr>
      <w:r>
        <w:separator/>
      </w:r>
    </w:p>
  </w:endnote>
  <w:endnote w:type="continuationSeparator" w:id="0">
    <w:p w14:paraId="655D3FE7" w14:textId="77777777" w:rsidR="00612FC6" w:rsidRDefault="00612FC6" w:rsidP="008F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A222" w14:textId="23C5B08A" w:rsidR="00F14284" w:rsidRPr="004333B3" w:rsidRDefault="00F14284" w:rsidP="00D86F3F">
    <w:pPr>
      <w:pBdr>
        <w:top w:val="single" w:sz="12" w:space="1" w:color="787878"/>
      </w:pBdr>
      <w:tabs>
        <w:tab w:val="center" w:pos="4680"/>
        <w:tab w:val="right" w:pos="9360"/>
      </w:tabs>
      <w:spacing w:after="0" w:line="240" w:lineRule="auto"/>
      <w:jc w:val="right"/>
      <w:rPr>
        <w:rFonts w:ascii="Calibri" w:eastAsia="Calibri" w:hAnsi="Calibri"/>
        <w:sz w:val="16"/>
        <w:szCs w:val="16"/>
      </w:rPr>
    </w:pPr>
    <w:r w:rsidRPr="004333B3">
      <w:rPr>
        <w:rFonts w:ascii="Calibri" w:eastAsia="Calibri" w:hAnsi="Calibri"/>
        <w:sz w:val="16"/>
        <w:szCs w:val="16"/>
      </w:rPr>
      <w:t xml:space="preserve">Page </w:t>
    </w:r>
    <w:r w:rsidRPr="004333B3">
      <w:rPr>
        <w:rFonts w:ascii="Calibri" w:eastAsia="Calibri" w:hAnsi="Calibri"/>
        <w:sz w:val="16"/>
        <w:szCs w:val="16"/>
      </w:rPr>
      <w:fldChar w:fldCharType="begin"/>
    </w:r>
    <w:r w:rsidRPr="004333B3">
      <w:rPr>
        <w:rFonts w:ascii="Calibri" w:eastAsia="Calibri" w:hAnsi="Calibri"/>
        <w:sz w:val="16"/>
        <w:szCs w:val="16"/>
      </w:rPr>
      <w:instrText xml:space="preserve"> PAGE   \* MERGEFORMAT </w:instrText>
    </w:r>
    <w:r w:rsidRPr="004333B3">
      <w:rPr>
        <w:rFonts w:ascii="Calibri" w:eastAsia="Calibri" w:hAnsi="Calibri"/>
        <w:sz w:val="16"/>
        <w:szCs w:val="16"/>
      </w:rPr>
      <w:fldChar w:fldCharType="separate"/>
    </w:r>
    <w:r>
      <w:rPr>
        <w:rFonts w:ascii="Calibri" w:eastAsia="Calibri" w:hAnsi="Calibri"/>
        <w:sz w:val="16"/>
        <w:szCs w:val="16"/>
      </w:rPr>
      <w:t>1</w:t>
    </w:r>
    <w:r w:rsidRPr="004333B3">
      <w:rPr>
        <w:rFonts w:ascii="Calibri" w:eastAsia="Calibri" w:hAnsi="Calibri"/>
        <w:noProof/>
        <w:sz w:val="16"/>
        <w:szCs w:val="16"/>
      </w:rPr>
      <w:fldChar w:fldCharType="end"/>
    </w:r>
    <w:r w:rsidRPr="004333B3">
      <w:rPr>
        <w:rFonts w:ascii="Calibri" w:eastAsia="Calibri" w:hAnsi="Calibri"/>
        <w:noProof/>
        <w:sz w:val="16"/>
        <w:szCs w:val="16"/>
      </w:rPr>
      <w:t xml:space="preserve"> </w:t>
    </w:r>
    <w:r w:rsidRPr="004333B3">
      <w:rPr>
        <w:rFonts w:ascii="Calibri" w:eastAsia="Calibri" w:hAnsi="Calibri"/>
        <w:sz w:val="16"/>
        <w:szCs w:val="16"/>
      </w:rPr>
      <w:t xml:space="preserve">of </w:t>
    </w:r>
    <w:r w:rsidR="004375B7">
      <w:rPr>
        <w:rFonts w:ascii="Calibri" w:eastAsia="Calibri" w:hAnsi="Calibri"/>
        <w:sz w:val="16"/>
        <w:szCs w:val="16"/>
      </w:rPr>
      <w:t>3</w:t>
    </w:r>
    <w:r>
      <w:rPr>
        <w:rFonts w:ascii="Calibri" w:eastAsia="Calibri" w:hAnsi="Calibri"/>
        <w:sz w:val="16"/>
        <w:szCs w:val="16"/>
      </w:rPr>
      <w:t xml:space="preserve"> </w:t>
    </w:r>
    <w:r w:rsidRPr="004333B3">
      <w:rPr>
        <w:rFonts w:ascii="Calibri" w:eastAsia="Calibri" w:hAnsi="Calibri"/>
        <w:sz w:val="16"/>
        <w:szCs w:val="16"/>
      </w:rPr>
      <w:t xml:space="preserve">– </w:t>
    </w:r>
    <w:r>
      <w:rPr>
        <w:rFonts w:ascii="Calibri" w:eastAsia="Calibri" w:hAnsi="Calibri"/>
        <w:sz w:val="16"/>
        <w:szCs w:val="16"/>
      </w:rPr>
      <w:t xml:space="preserve">i3Forum Guidelines for </w:t>
    </w:r>
    <w:r w:rsidR="0057070E">
      <w:rPr>
        <w:rFonts w:ascii="Calibri" w:eastAsia="Calibri" w:hAnsi="Calibri"/>
        <w:sz w:val="16"/>
        <w:szCs w:val="16"/>
      </w:rPr>
      <w:t>Fraud Data</w:t>
    </w:r>
  </w:p>
  <w:p w14:paraId="17CCD569" w14:textId="77777777" w:rsidR="00F14284" w:rsidRPr="004333B3" w:rsidRDefault="00F14284" w:rsidP="00D86F3F">
    <w:pPr>
      <w:tabs>
        <w:tab w:val="center" w:pos="4680"/>
        <w:tab w:val="right" w:pos="9360"/>
      </w:tabs>
      <w:spacing w:after="0" w:line="240" w:lineRule="auto"/>
      <w:jc w:val="right"/>
      <w:rPr>
        <w:rFonts w:ascii="Calibri" w:eastAsia="Calibri" w:hAnsi="Calibri"/>
        <w:sz w:val="16"/>
        <w:szCs w:val="16"/>
      </w:rPr>
    </w:pPr>
    <w:r w:rsidRPr="004333B3">
      <w:rPr>
        <w:rFonts w:ascii="Calibri" w:eastAsia="Calibri" w:hAnsi="Calibri"/>
        <w:sz w:val="16"/>
        <w:szCs w:val="16"/>
      </w:rPr>
      <w:t>i3Forum Proprietary and Confidential</w:t>
    </w:r>
  </w:p>
  <w:p w14:paraId="2823D591" w14:textId="3C353FAE" w:rsidR="00F14284" w:rsidRPr="004333B3" w:rsidRDefault="00F14284" w:rsidP="00D86F3F">
    <w:pPr>
      <w:tabs>
        <w:tab w:val="center" w:pos="4680"/>
        <w:tab w:val="right" w:pos="9360"/>
      </w:tabs>
      <w:spacing w:after="0" w:line="240" w:lineRule="auto"/>
      <w:jc w:val="right"/>
      <w:rPr>
        <w:rStyle w:val="Oldalszm"/>
        <w:rFonts w:ascii="Calibri" w:eastAsia="Calibri" w:hAnsi="Calibri"/>
        <w:sz w:val="16"/>
        <w:szCs w:val="16"/>
      </w:rPr>
    </w:pPr>
    <w:r w:rsidRPr="004333B3">
      <w:rPr>
        <w:rFonts w:ascii="Calibri" w:eastAsia="Calibri" w:hAnsi="Calibri"/>
        <w:sz w:val="16"/>
        <w:szCs w:val="16"/>
      </w:rPr>
      <w:t>(Ver. 1.</w:t>
    </w:r>
    <w:r w:rsidR="0057070E">
      <w:rPr>
        <w:rFonts w:ascii="Calibri" w:eastAsia="Calibri" w:hAnsi="Calibri"/>
        <w:sz w:val="16"/>
        <w:szCs w:val="16"/>
      </w:rPr>
      <w:t>0</w:t>
    </w:r>
    <w:r w:rsidRPr="004333B3">
      <w:rPr>
        <w:rFonts w:ascii="Calibri" w:eastAsia="Calibri" w:hAnsi="Calibri"/>
        <w:sz w:val="16"/>
        <w:szCs w:val="16"/>
      </w:rPr>
      <w:t xml:space="preserve"> – </w:t>
    </w:r>
    <w:proofErr w:type="gramStart"/>
    <w:r w:rsidR="004375B7">
      <w:rPr>
        <w:rFonts w:ascii="Calibri" w:eastAsia="Calibri" w:hAnsi="Calibri"/>
        <w:sz w:val="16"/>
        <w:szCs w:val="16"/>
      </w:rPr>
      <w:t xml:space="preserve">Dec </w:t>
    </w:r>
    <w:r w:rsidR="0057070E">
      <w:rPr>
        <w:rFonts w:ascii="Calibri" w:eastAsia="Calibri" w:hAnsi="Calibri"/>
        <w:sz w:val="16"/>
        <w:szCs w:val="16"/>
      </w:rPr>
      <w:t xml:space="preserve"> </w:t>
    </w:r>
    <w:r w:rsidRPr="004333B3">
      <w:rPr>
        <w:rFonts w:ascii="Calibri" w:eastAsia="Calibri" w:hAnsi="Calibri"/>
        <w:sz w:val="16"/>
        <w:szCs w:val="16"/>
      </w:rPr>
      <w:t>20</w:t>
    </w:r>
    <w:r w:rsidR="0057070E">
      <w:rPr>
        <w:rFonts w:ascii="Calibri" w:eastAsia="Calibri" w:hAnsi="Calibri"/>
        <w:sz w:val="16"/>
        <w:szCs w:val="16"/>
      </w:rPr>
      <w:t>20</w:t>
    </w:r>
    <w:proofErr w:type="gramEnd"/>
    <w:r w:rsidRPr="004333B3">
      <w:rPr>
        <w:rFonts w:ascii="Calibri" w:eastAsia="Calibri" w:hAnsi="Calibri"/>
        <w:sz w:val="16"/>
        <w:szCs w:val="16"/>
      </w:rPr>
      <w:t>)</w:t>
    </w:r>
  </w:p>
  <w:p w14:paraId="5B7EAF11" w14:textId="77777777" w:rsidR="00F14284" w:rsidRDefault="00F142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3AF2" w14:textId="77777777" w:rsidR="00612FC6" w:rsidRDefault="00612FC6" w:rsidP="008F6615">
      <w:pPr>
        <w:spacing w:after="0" w:line="240" w:lineRule="auto"/>
      </w:pPr>
      <w:r>
        <w:separator/>
      </w:r>
    </w:p>
  </w:footnote>
  <w:footnote w:type="continuationSeparator" w:id="0">
    <w:p w14:paraId="5FD38219" w14:textId="77777777" w:rsidR="00612FC6" w:rsidRDefault="00612FC6" w:rsidP="008F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D3A2" w14:textId="6F559961" w:rsidR="008F6615" w:rsidRDefault="008F6615">
    <w:pPr>
      <w:pStyle w:val="lfej"/>
    </w:pPr>
    <w:r>
      <w:rPr>
        <w:noProof/>
        <w:lang w:eastAsia="en-CA"/>
      </w:rPr>
      <w:drawing>
        <wp:anchor distT="0" distB="0" distL="114300" distR="114300" simplePos="0" relativeHeight="251659264" behindDoc="0" locked="0" layoutInCell="1" allowOverlap="1" wp14:anchorId="41EA09B0" wp14:editId="2D7F8C1F">
          <wp:simplePos x="0" y="0"/>
          <wp:positionH relativeFrom="margin">
            <wp:align>right</wp:align>
          </wp:positionH>
          <wp:positionV relativeFrom="paragraph">
            <wp:posOffset>-102235</wp:posOffset>
          </wp:positionV>
          <wp:extent cx="1130300" cy="491490"/>
          <wp:effectExtent l="0" t="0" r="0" b="3810"/>
          <wp:wrapNone/>
          <wp:docPr id="8" name="Picture 8" descr="cid:image002.jpg@01D4EA4A.EE20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jpg@01D4EA4A.EE2071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0300" cy="491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ADC"/>
    <w:multiLevelType w:val="hybridMultilevel"/>
    <w:tmpl w:val="A6024F4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301C0D"/>
    <w:multiLevelType w:val="hybridMultilevel"/>
    <w:tmpl w:val="B45A7CAC"/>
    <w:lvl w:ilvl="0" w:tplc="A55899B8">
      <w:start w:val="12"/>
      <w:numFmt w:val="decimal"/>
      <w:lvlText w:val="%1"/>
      <w:lvlJc w:val="left"/>
      <w:pPr>
        <w:ind w:left="720" w:hanging="360"/>
      </w:pPr>
      <w:rPr>
        <w:b/>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F1943EB"/>
    <w:multiLevelType w:val="hybridMultilevel"/>
    <w:tmpl w:val="9AFC4848"/>
    <w:lvl w:ilvl="0" w:tplc="10090011">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7F0040"/>
    <w:multiLevelType w:val="hybridMultilevel"/>
    <w:tmpl w:val="A85E88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AD22DC5"/>
    <w:multiLevelType w:val="hybridMultilevel"/>
    <w:tmpl w:val="F666324C"/>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15:restartNumberingAfterBreak="0">
    <w:nsid w:val="5B261A9F"/>
    <w:multiLevelType w:val="hybridMultilevel"/>
    <w:tmpl w:val="191E0B5A"/>
    <w:lvl w:ilvl="0" w:tplc="0C0A0001">
      <w:start w:val="1"/>
      <w:numFmt w:val="bullet"/>
      <w:lvlText w:val=""/>
      <w:lvlJc w:val="left"/>
      <w:pPr>
        <w:ind w:left="360" w:hanging="360"/>
      </w:pPr>
      <w:rPr>
        <w:rFonts w:ascii="Symbol" w:hAnsi="Symbol" w:hint="default"/>
      </w:rPr>
    </w:lvl>
    <w:lvl w:ilvl="1" w:tplc="4164259A">
      <w:numFmt w:val="bullet"/>
      <w:lvlText w:val="-"/>
      <w:lvlJc w:val="left"/>
      <w:pPr>
        <w:ind w:left="1080" w:hanging="360"/>
      </w:pPr>
      <w:rPr>
        <w:rFonts w:ascii="Arial" w:eastAsiaTheme="minorHAns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ED"/>
    <w:rsid w:val="000364EC"/>
    <w:rsid w:val="00066215"/>
    <w:rsid w:val="000B1E27"/>
    <w:rsid w:val="000D7CDA"/>
    <w:rsid w:val="001239F1"/>
    <w:rsid w:val="00137379"/>
    <w:rsid w:val="00140CF2"/>
    <w:rsid w:val="0018772F"/>
    <w:rsid w:val="001931D5"/>
    <w:rsid w:val="002B132B"/>
    <w:rsid w:val="002C271C"/>
    <w:rsid w:val="00341B44"/>
    <w:rsid w:val="003D4B51"/>
    <w:rsid w:val="003F0E0A"/>
    <w:rsid w:val="003F6388"/>
    <w:rsid w:val="00434EDB"/>
    <w:rsid w:val="004375B7"/>
    <w:rsid w:val="00477C31"/>
    <w:rsid w:val="00542472"/>
    <w:rsid w:val="0057070E"/>
    <w:rsid w:val="00574DE4"/>
    <w:rsid w:val="00585C8C"/>
    <w:rsid w:val="005A621A"/>
    <w:rsid w:val="00612FC6"/>
    <w:rsid w:val="00643845"/>
    <w:rsid w:val="00732EB6"/>
    <w:rsid w:val="00743B40"/>
    <w:rsid w:val="00790620"/>
    <w:rsid w:val="00793732"/>
    <w:rsid w:val="007A1028"/>
    <w:rsid w:val="007C2555"/>
    <w:rsid w:val="007E6499"/>
    <w:rsid w:val="00812E56"/>
    <w:rsid w:val="00862092"/>
    <w:rsid w:val="00883903"/>
    <w:rsid w:val="008A5626"/>
    <w:rsid w:val="008F6615"/>
    <w:rsid w:val="00925DDA"/>
    <w:rsid w:val="00984694"/>
    <w:rsid w:val="0099648E"/>
    <w:rsid w:val="009D7DC5"/>
    <w:rsid w:val="009E07F2"/>
    <w:rsid w:val="00A074F4"/>
    <w:rsid w:val="00A51A16"/>
    <w:rsid w:val="00A72C1D"/>
    <w:rsid w:val="00A92C6F"/>
    <w:rsid w:val="00B47496"/>
    <w:rsid w:val="00B76F12"/>
    <w:rsid w:val="00B96DB1"/>
    <w:rsid w:val="00BA3AA7"/>
    <w:rsid w:val="00C244EA"/>
    <w:rsid w:val="00C26CED"/>
    <w:rsid w:val="00C32475"/>
    <w:rsid w:val="00C71D11"/>
    <w:rsid w:val="00CA4364"/>
    <w:rsid w:val="00CC77B3"/>
    <w:rsid w:val="00D12A32"/>
    <w:rsid w:val="00D35E3D"/>
    <w:rsid w:val="00D47D64"/>
    <w:rsid w:val="00D633D5"/>
    <w:rsid w:val="00D86F3F"/>
    <w:rsid w:val="00DF4A01"/>
    <w:rsid w:val="00E0052A"/>
    <w:rsid w:val="00E3482E"/>
    <w:rsid w:val="00E411DC"/>
    <w:rsid w:val="00E7591C"/>
    <w:rsid w:val="00EA6898"/>
    <w:rsid w:val="00ED0173"/>
    <w:rsid w:val="00EE0950"/>
    <w:rsid w:val="00F14284"/>
    <w:rsid w:val="00F20525"/>
    <w:rsid w:val="00F37677"/>
    <w:rsid w:val="00F562F5"/>
    <w:rsid w:val="00FE4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FF98"/>
  <w15:chartTrackingRefBased/>
  <w15:docId w15:val="{DCF2F1F9-856D-4BCC-BDE4-41ABAB2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633D5"/>
    <w:rPr>
      <w:color w:val="0563C1" w:themeColor="hyperlink"/>
      <w:u w:val="single"/>
    </w:rPr>
  </w:style>
  <w:style w:type="character" w:styleId="Feloldatlanmegemlts">
    <w:name w:val="Unresolved Mention"/>
    <w:basedOn w:val="Bekezdsalapbettpusa"/>
    <w:uiPriority w:val="99"/>
    <w:semiHidden/>
    <w:unhideWhenUsed/>
    <w:rsid w:val="00D633D5"/>
    <w:rPr>
      <w:color w:val="605E5C"/>
      <w:shd w:val="clear" w:color="auto" w:fill="E1DFDD"/>
    </w:rPr>
  </w:style>
  <w:style w:type="paragraph" w:styleId="Listaszerbekezds">
    <w:name w:val="List Paragraph"/>
    <w:basedOn w:val="Norml"/>
    <w:uiPriority w:val="34"/>
    <w:qFormat/>
    <w:rsid w:val="009E07F2"/>
    <w:pPr>
      <w:ind w:left="720"/>
      <w:contextualSpacing/>
    </w:pPr>
  </w:style>
  <w:style w:type="character" w:styleId="Mrltotthiperhivatkozs">
    <w:name w:val="FollowedHyperlink"/>
    <w:basedOn w:val="Bekezdsalapbettpusa"/>
    <w:uiPriority w:val="99"/>
    <w:semiHidden/>
    <w:unhideWhenUsed/>
    <w:rsid w:val="009E07F2"/>
    <w:rPr>
      <w:color w:val="954F72" w:themeColor="followedHyperlink"/>
      <w:u w:val="single"/>
    </w:rPr>
  </w:style>
  <w:style w:type="paragraph" w:styleId="Buborkszveg">
    <w:name w:val="Balloon Text"/>
    <w:basedOn w:val="Norml"/>
    <w:link w:val="BuborkszvegChar"/>
    <w:uiPriority w:val="99"/>
    <w:semiHidden/>
    <w:unhideWhenUsed/>
    <w:rsid w:val="00CC77B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77B3"/>
    <w:rPr>
      <w:rFonts w:ascii="Segoe UI" w:hAnsi="Segoe UI" w:cs="Segoe UI"/>
      <w:sz w:val="18"/>
      <w:szCs w:val="18"/>
    </w:rPr>
  </w:style>
  <w:style w:type="paragraph" w:styleId="lfej">
    <w:name w:val="header"/>
    <w:basedOn w:val="Norml"/>
    <w:link w:val="lfejChar"/>
    <w:uiPriority w:val="99"/>
    <w:unhideWhenUsed/>
    <w:rsid w:val="008F6615"/>
    <w:pPr>
      <w:tabs>
        <w:tab w:val="center" w:pos="4680"/>
        <w:tab w:val="right" w:pos="9360"/>
      </w:tabs>
      <w:spacing w:after="0" w:line="240" w:lineRule="auto"/>
    </w:pPr>
  </w:style>
  <w:style w:type="character" w:customStyle="1" w:styleId="lfejChar">
    <w:name w:val="Élőfej Char"/>
    <w:basedOn w:val="Bekezdsalapbettpusa"/>
    <w:link w:val="lfej"/>
    <w:uiPriority w:val="99"/>
    <w:rsid w:val="008F6615"/>
  </w:style>
  <w:style w:type="paragraph" w:styleId="llb">
    <w:name w:val="footer"/>
    <w:basedOn w:val="Norml"/>
    <w:link w:val="llbChar"/>
    <w:uiPriority w:val="99"/>
    <w:unhideWhenUsed/>
    <w:rsid w:val="008F6615"/>
    <w:pPr>
      <w:tabs>
        <w:tab w:val="center" w:pos="4680"/>
        <w:tab w:val="right" w:pos="9360"/>
      </w:tabs>
      <w:spacing w:after="0" w:line="240" w:lineRule="auto"/>
    </w:pPr>
  </w:style>
  <w:style w:type="character" w:customStyle="1" w:styleId="llbChar">
    <w:name w:val="Élőláb Char"/>
    <w:basedOn w:val="Bekezdsalapbettpusa"/>
    <w:link w:val="llb"/>
    <w:uiPriority w:val="99"/>
    <w:rsid w:val="008F6615"/>
  </w:style>
  <w:style w:type="character" w:styleId="Jegyzethivatkozs">
    <w:name w:val="annotation reference"/>
    <w:basedOn w:val="Bekezdsalapbettpusa"/>
    <w:uiPriority w:val="99"/>
    <w:semiHidden/>
    <w:unhideWhenUsed/>
    <w:rsid w:val="00732EB6"/>
    <w:rPr>
      <w:sz w:val="16"/>
      <w:szCs w:val="16"/>
    </w:rPr>
  </w:style>
  <w:style w:type="paragraph" w:styleId="Jegyzetszveg">
    <w:name w:val="annotation text"/>
    <w:basedOn w:val="Norml"/>
    <w:link w:val="JegyzetszvegChar"/>
    <w:uiPriority w:val="99"/>
    <w:semiHidden/>
    <w:unhideWhenUsed/>
    <w:rsid w:val="00732EB6"/>
    <w:pPr>
      <w:spacing w:line="240" w:lineRule="auto"/>
    </w:pPr>
    <w:rPr>
      <w:sz w:val="20"/>
      <w:szCs w:val="20"/>
    </w:rPr>
  </w:style>
  <w:style w:type="character" w:customStyle="1" w:styleId="JegyzetszvegChar">
    <w:name w:val="Jegyzetszöveg Char"/>
    <w:basedOn w:val="Bekezdsalapbettpusa"/>
    <w:link w:val="Jegyzetszveg"/>
    <w:uiPriority w:val="99"/>
    <w:semiHidden/>
    <w:rsid w:val="00732EB6"/>
    <w:rPr>
      <w:sz w:val="20"/>
      <w:szCs w:val="20"/>
    </w:rPr>
  </w:style>
  <w:style w:type="paragraph" w:styleId="Megjegyzstrgya">
    <w:name w:val="annotation subject"/>
    <w:basedOn w:val="Jegyzetszveg"/>
    <w:next w:val="Jegyzetszveg"/>
    <w:link w:val="MegjegyzstrgyaChar"/>
    <w:uiPriority w:val="99"/>
    <w:semiHidden/>
    <w:unhideWhenUsed/>
    <w:rsid w:val="00732EB6"/>
    <w:rPr>
      <w:b/>
      <w:bCs/>
    </w:rPr>
  </w:style>
  <w:style w:type="character" w:customStyle="1" w:styleId="MegjegyzstrgyaChar">
    <w:name w:val="Megjegyzés tárgya Char"/>
    <w:basedOn w:val="JegyzetszvegChar"/>
    <w:link w:val="Megjegyzstrgya"/>
    <w:uiPriority w:val="99"/>
    <w:semiHidden/>
    <w:rsid w:val="00732EB6"/>
    <w:rPr>
      <w:b/>
      <w:bCs/>
      <w:sz w:val="20"/>
      <w:szCs w:val="20"/>
    </w:rPr>
  </w:style>
  <w:style w:type="character" w:styleId="Oldalszm">
    <w:name w:val="page number"/>
    <w:basedOn w:val="Bekezdsalapbettpusa"/>
    <w:rsid w:val="00F1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87232">
      <w:bodyDiv w:val="1"/>
      <w:marLeft w:val="0"/>
      <w:marRight w:val="0"/>
      <w:marTop w:val="0"/>
      <w:marBottom w:val="0"/>
      <w:divBdr>
        <w:top w:val="none" w:sz="0" w:space="0" w:color="auto"/>
        <w:left w:val="none" w:sz="0" w:space="0" w:color="auto"/>
        <w:bottom w:val="none" w:sz="0" w:space="0" w:color="auto"/>
        <w:right w:val="none" w:sz="0" w:space="0" w:color="auto"/>
      </w:divBdr>
    </w:div>
    <w:div w:id="1112942221">
      <w:bodyDiv w:val="1"/>
      <w:marLeft w:val="0"/>
      <w:marRight w:val="0"/>
      <w:marTop w:val="0"/>
      <w:marBottom w:val="0"/>
      <w:divBdr>
        <w:top w:val="none" w:sz="0" w:space="0" w:color="auto"/>
        <w:left w:val="none" w:sz="0" w:space="0" w:color="auto"/>
        <w:bottom w:val="none" w:sz="0" w:space="0" w:color="auto"/>
        <w:right w:val="none" w:sz="0" w:space="0" w:color="auto"/>
      </w:divBdr>
    </w:div>
    <w:div w:id="1628194146">
      <w:bodyDiv w:val="1"/>
      <w:marLeft w:val="0"/>
      <w:marRight w:val="0"/>
      <w:marTop w:val="0"/>
      <w:marBottom w:val="0"/>
      <w:divBdr>
        <w:top w:val="none" w:sz="0" w:space="0" w:color="auto"/>
        <w:left w:val="none" w:sz="0" w:space="0" w:color="auto"/>
        <w:bottom w:val="none" w:sz="0" w:space="0" w:color="auto"/>
        <w:right w:val="none" w:sz="0" w:space="0" w:color="auto"/>
      </w:divBdr>
    </w:div>
    <w:div w:id="20226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ivacy-regulation.eu/en/recital-47-GDP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EA4A.EE2071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Anthony</dc:creator>
  <cp:keywords/>
  <dc:description/>
  <cp:lastModifiedBy>User</cp:lastModifiedBy>
  <cp:revision>2</cp:revision>
  <dcterms:created xsi:type="dcterms:W3CDTF">2021-03-11T11:06:00Z</dcterms:created>
  <dcterms:modified xsi:type="dcterms:W3CDTF">2021-03-11T11:06:00Z</dcterms:modified>
</cp:coreProperties>
</file>